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735500" w14:textId="065DD2E6" w:rsidR="005A06BA" w:rsidRDefault="0061427E" w:rsidP="0061427E">
      <w:pPr>
        <w:pStyle w:val="Numreradrubrik2"/>
      </w:pPr>
      <w:r>
        <w:t>Nuläge för nationell hänvisning</w:t>
      </w:r>
    </w:p>
    <w:p w14:paraId="73C291DA" w14:textId="06ACC14F" w:rsidR="0061427E" w:rsidRDefault="0061427E" w:rsidP="00356B76">
      <w:r>
        <w:t>Idag finns det nyanser i hur regionerna arbetar med hänvisning till andra regioner avseende vård som inte kan tillgodoses inom vårdgarantin av den egna vården.</w:t>
      </w:r>
    </w:p>
    <w:p w14:paraId="2C8095A5" w14:textId="6F452C61" w:rsidR="0061427E" w:rsidRDefault="0061427E" w:rsidP="00356B76">
      <w:r>
        <w:t>Nedan beskriven process kan användas som en generell utgångspunkt.</w:t>
      </w:r>
    </w:p>
    <w:p w14:paraId="5953AB96" w14:textId="3A31F0C6" w:rsidR="0061427E" w:rsidRDefault="0038796D" w:rsidP="0061427E">
      <w:pPr>
        <w:keepNext/>
      </w:pPr>
      <w:r w:rsidRPr="0038796D">
        <w:drawing>
          <wp:inline distT="0" distB="0" distL="0" distR="0" wp14:anchorId="28EEAD61" wp14:editId="431ABE34">
            <wp:extent cx="4770755" cy="1562735"/>
            <wp:effectExtent l="0" t="0" r="0" b="0"/>
            <wp:docPr id="6" name="Bildobjek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770755" cy="1562735"/>
                    </a:xfrm>
                    <a:prstGeom prst="rect">
                      <a:avLst/>
                    </a:prstGeom>
                  </pic:spPr>
                </pic:pic>
              </a:graphicData>
            </a:graphic>
          </wp:inline>
        </w:drawing>
      </w:r>
    </w:p>
    <w:p w14:paraId="6B5F7067" w14:textId="0A7611EE" w:rsidR="0061427E" w:rsidRDefault="0061427E" w:rsidP="0061427E">
      <w:pPr>
        <w:pStyle w:val="Beskrivning"/>
      </w:pPr>
      <w:r>
        <w:t xml:space="preserve">Figur </w:t>
      </w:r>
      <w:r>
        <w:fldChar w:fldCharType="begin"/>
      </w:r>
      <w:r>
        <w:instrText xml:space="preserve"> SEQ Figur \* ARABIC </w:instrText>
      </w:r>
      <w:r>
        <w:fldChar w:fldCharType="separate"/>
      </w:r>
      <w:r w:rsidR="00CF2A78">
        <w:rPr>
          <w:noProof/>
        </w:rPr>
        <w:t>1</w:t>
      </w:r>
      <w:r>
        <w:fldChar w:fldCharType="end"/>
      </w:r>
      <w:r>
        <w:t xml:space="preserve"> - Process för nationell hänvisning</w:t>
      </w:r>
    </w:p>
    <w:p w14:paraId="2569F374" w14:textId="6E4E143E" w:rsidR="0061427E" w:rsidRDefault="0061427E" w:rsidP="0061427E">
      <w:r>
        <w:t>När en patient i en remissbekräftelse får information om att remitterad vårdenhet inte kan utföra vård inom vårdgarantins gränser (90 dagar) erbjuds hen ett val att åberopa vårdgarantin. Detta görs genom att kontakta vårdgarantikansliet eller vårdlotsen i regionen (inte alla regioner har en vårdlots). Vårdlotsen informerar patienten om dess rättigheter och kontaktar därefter vårdenheten för att diskutera möjliga lösningar.</w:t>
      </w:r>
    </w:p>
    <w:p w14:paraId="446B770C" w14:textId="1CE1E634" w:rsidR="0061427E" w:rsidRDefault="0061427E" w:rsidP="0061427E">
      <w:r>
        <w:t>I första hand försöker vårdenheten att remittera patienten till annan avtalad aktör inom regionen och i andra hand inom sjukvårdsregionen (se bild). Kan inte vårdenheten själva lösa hänvisning så får vårdlotsen uppdrag att hitta ett nationellt alternativ till att utföra vården.</w:t>
      </w:r>
    </w:p>
    <w:p w14:paraId="551EE87A" w14:textId="77777777" w:rsidR="0061427E" w:rsidRDefault="0061427E" w:rsidP="0061427E">
      <w:pPr>
        <w:keepNext/>
      </w:pPr>
      <w:r w:rsidRPr="0061427E">
        <w:drawing>
          <wp:inline distT="0" distB="0" distL="0" distR="0" wp14:anchorId="4DF97DC6" wp14:editId="7DCA110F">
            <wp:extent cx="4770755" cy="1673860"/>
            <wp:effectExtent l="0" t="0" r="0" b="2540"/>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770755" cy="1673860"/>
                    </a:xfrm>
                    <a:prstGeom prst="rect">
                      <a:avLst/>
                    </a:prstGeom>
                  </pic:spPr>
                </pic:pic>
              </a:graphicData>
            </a:graphic>
          </wp:inline>
        </w:drawing>
      </w:r>
    </w:p>
    <w:p w14:paraId="21492971" w14:textId="0D8D038B" w:rsidR="0061427E" w:rsidRPr="0061427E" w:rsidRDefault="0061427E" w:rsidP="0061427E">
      <w:pPr>
        <w:pStyle w:val="Beskrivning"/>
      </w:pPr>
      <w:r>
        <w:t xml:space="preserve">Figur </w:t>
      </w:r>
      <w:r>
        <w:fldChar w:fldCharType="begin"/>
      </w:r>
      <w:r>
        <w:instrText xml:space="preserve"> SEQ Figur \* ARABIC </w:instrText>
      </w:r>
      <w:r>
        <w:fldChar w:fldCharType="separate"/>
      </w:r>
      <w:r w:rsidR="00CF2A78">
        <w:rPr>
          <w:noProof/>
        </w:rPr>
        <w:t>2</w:t>
      </w:r>
      <w:r>
        <w:fldChar w:fldCharType="end"/>
      </w:r>
      <w:r>
        <w:t xml:space="preserve"> - Sjukvårdsregioner</w:t>
      </w:r>
    </w:p>
    <w:p w14:paraId="41692966" w14:textId="7BF4FB95" w:rsidR="0061427E" w:rsidRDefault="0061427E" w:rsidP="00356B76">
      <w:r>
        <w:t>Vårdlotsen får då inleda ett, manuellt, detektivarbete för att hitta andra vårdgivare i Sverige</w:t>
      </w:r>
      <w:r w:rsidR="000C1967">
        <w:t xml:space="preserve">. Det finns idag ingen samlad information eller arbetsverktyg för att stötta vårdlotsen i detta utan källor såsom Google, chattgrupper hos SKR:s vårdlotsnätverk, egna kontakter, regionala webbplatser, väntetider.se med flera används för att identifiera vårdgivare. </w:t>
      </w:r>
      <w:r>
        <w:t xml:space="preserve"> </w:t>
      </w:r>
      <w:r w:rsidR="000C1967">
        <w:t xml:space="preserve">När en potentiell vårdgivare identifierats ringer vårdlotsen för att säkerställa </w:t>
      </w:r>
      <w:r w:rsidR="000C1967">
        <w:lastRenderedPageBreak/>
        <w:t>att vårdgivaren har avtal med någon region, att de kan utföra vård givet patientens sjukdomsbild och att de har möjlighet att ta emot patienten inom vårdgarantins gränser.</w:t>
      </w:r>
    </w:p>
    <w:p w14:paraId="00648B21" w14:textId="41E4FD1B" w:rsidR="000C1967" w:rsidRDefault="000C1967" w:rsidP="00356B76">
      <w:r>
        <w:t>Om vårdgivaren ger ett positivt svar kontaktar vårdlotsen remitterad vårdenhet och informerar om det/de alternativ som hen identifierat. Vårdenheten väljer då det alternativ som anses bäst ur medicinsk synpunkt och vilket de har bäst samarbete med för att sedan låta vårdlotsen meddela patienten om möjligheten att flytta vården utomläns för att få hjälp inom vårdgarantins gränser. Väljer patienten att avstå, anses det som självvalt och man avsäger sig vårdgarantin i det specifika fallet.</w:t>
      </w:r>
    </w:p>
    <w:p w14:paraId="08CEDC4A" w14:textId="38F45601" w:rsidR="000C1967" w:rsidRDefault="000C1967" w:rsidP="00356B76">
      <w:r>
        <w:t>För att sedan flytta vården ombesörjer vårdenheten att remiss, remissunderlag och betalningsförbindelse skickas till mottagande region. Alla remisser till privata vårdgivare skickas, enligt riksavtalet, till regionens centrala vårdadministration (hälso- och sjukvårdsförvaltningar).</w:t>
      </w:r>
    </w:p>
    <w:p w14:paraId="0C718F01" w14:textId="36A9D1A3" w:rsidR="000C1967" w:rsidRDefault="0038796D" w:rsidP="0038796D">
      <w:pPr>
        <w:pStyle w:val="Numreradrubrik2"/>
      </w:pPr>
      <w:r w:rsidRPr="0038796D">
        <w:t>Huvudsakliga problemområden</w:t>
      </w:r>
    </w:p>
    <w:p w14:paraId="2BDC1BC7" w14:textId="2E3815C3" w:rsidR="0038796D" w:rsidRDefault="0038796D" w:rsidP="0038796D">
      <w:pPr>
        <w:rPr>
          <w:b/>
        </w:rPr>
      </w:pPr>
      <w:r>
        <w:rPr>
          <w:b/>
        </w:rPr>
        <w:t>Vårdlotsen söker vårdalternativ nationellt</w:t>
      </w:r>
    </w:p>
    <w:p w14:paraId="38A79482" w14:textId="7433E61C" w:rsidR="0038796D" w:rsidRPr="0038796D" w:rsidRDefault="0038796D" w:rsidP="0038796D">
      <w:r>
        <w:t xml:space="preserve">Vårdenheter/kliniker har idag (ofta) tillgång till information om alternativa vårdgivare i regionen direkt i journalsystemet. I vissa fall finns även information om alternativa vårdgivare i andra regioner inom den egna sjukvårdsregionen (se figur 2). Nationellt finns det idag ingen enhetlig källa för information om vilka vårdgivare som har avtal med regionerna. </w:t>
      </w:r>
      <w:r w:rsidRPr="0038796D">
        <w:rPr>
          <w:color w:val="FF0000"/>
        </w:rPr>
        <w:t>För att stöd</w:t>
      </w:r>
      <w:r>
        <w:rPr>
          <w:color w:val="FF0000"/>
        </w:rPr>
        <w:t>j</w:t>
      </w:r>
      <w:r w:rsidRPr="0038796D">
        <w:rPr>
          <w:color w:val="FF0000"/>
        </w:rPr>
        <w:t xml:space="preserve">a vårdlotsen i den nationella sökningen bör en källa som ersätter personliga kontakter, </w:t>
      </w:r>
      <w:proofErr w:type="spellStart"/>
      <w:r w:rsidRPr="0038796D">
        <w:rPr>
          <w:color w:val="FF0000"/>
        </w:rPr>
        <w:t>google</w:t>
      </w:r>
      <w:proofErr w:type="spellEnd"/>
      <w:r w:rsidRPr="0038796D">
        <w:rPr>
          <w:color w:val="FF0000"/>
        </w:rPr>
        <w:t>, väntetider.se och diverse chattrum upprättas.</w:t>
      </w:r>
    </w:p>
    <w:p w14:paraId="70F843E8" w14:textId="211D3223" w:rsidR="0038796D" w:rsidRDefault="0038796D" w:rsidP="0038796D">
      <w:pPr>
        <w:rPr>
          <w:b/>
        </w:rPr>
      </w:pPr>
      <w:r>
        <w:rPr>
          <w:b/>
        </w:rPr>
        <w:t>Vårdlotsen presenterar vårdalternativ för klinik/vårdenhet</w:t>
      </w:r>
    </w:p>
    <w:p w14:paraId="757AA9D1" w14:textId="77F1335C" w:rsidR="0038796D" w:rsidRPr="0038796D" w:rsidRDefault="0038796D" w:rsidP="0038796D">
      <w:r>
        <w:t xml:space="preserve">När ett eller flera vårdalternativ identifierats ringer vårdlotsen kliniken/vårdenheten och presenterar dessa muntligt. I vissa fall skickas brev som tar några dagar och ofta måste följas upp med ett telefonsamtal. </w:t>
      </w:r>
      <w:r w:rsidRPr="0038796D">
        <w:rPr>
          <w:color w:val="FF0000"/>
        </w:rPr>
        <w:t>För att stödja vårdlotsen i detta steg bör en strukturerad delning av identifierade vårdalternativ ske digitalt och alla vårdalternativ presenteras med samma informationsuppställning.</w:t>
      </w:r>
    </w:p>
    <w:p w14:paraId="638E03F9" w14:textId="7B4C5471" w:rsidR="0038796D" w:rsidRDefault="0038796D" w:rsidP="0038796D">
      <w:pPr>
        <w:rPr>
          <w:b/>
        </w:rPr>
      </w:pPr>
      <w:r>
        <w:rPr>
          <w:b/>
        </w:rPr>
        <w:t>Klinik/vårdenhet utvärderar vårdalternativ</w:t>
      </w:r>
    </w:p>
    <w:p w14:paraId="3A50755A" w14:textId="102C4A3C" w:rsidR="0038796D" w:rsidRDefault="00802855" w:rsidP="0038796D">
      <w:r>
        <w:t xml:space="preserve">Medicinsk bedömning eller invägning av samarbeten och erfarenheter kan inte ersättas av ett system, </w:t>
      </w:r>
      <w:r w:rsidRPr="00802855">
        <w:rPr>
          <w:color w:val="FF0000"/>
        </w:rPr>
        <w:t>men en tydlig sammanställning med jämförbar information om vårdalternativ bör erbjudas de som ska ta ställning om var vården ska hänvisas.</w:t>
      </w:r>
    </w:p>
    <w:p w14:paraId="0E28A5B5" w14:textId="2FBF9AC4" w:rsidR="00802855" w:rsidRDefault="00802855" w:rsidP="0038796D">
      <w:pPr>
        <w:rPr>
          <w:b/>
        </w:rPr>
      </w:pPr>
      <w:r w:rsidRPr="00802855">
        <w:rPr>
          <w:b/>
        </w:rPr>
        <w:t>Klinik/vårdenhet skickar remiss och underlag</w:t>
      </w:r>
    </w:p>
    <w:p w14:paraId="64A10CC5" w14:textId="372CA380" w:rsidR="00802855" w:rsidRDefault="00802855" w:rsidP="0038796D">
      <w:r>
        <w:t xml:space="preserve">I dagsläget skickas remiss och underlag som ska till privata vårdgivare i andra regioner med papper till den mottagande regionens centrala vårdadministration (hälso- och sjukvårdsförvaltning, vårdgarantikansli eller liknande). I den mån det är möjligt enligt riksavtalet bör information om hur </w:t>
      </w:r>
      <w:r>
        <w:lastRenderedPageBreak/>
        <w:t xml:space="preserve">remiss och underlag kan skickas på andra sätt än via brev framgå per vårdalternativ. Vissa regioner använder sig exempelvis av </w:t>
      </w:r>
      <w:proofErr w:type="spellStart"/>
      <w:r>
        <w:t>Sectra</w:t>
      </w:r>
      <w:proofErr w:type="spellEnd"/>
      <w:r>
        <w:t xml:space="preserve"> IEP för överföring av bild och funktionsdata.</w:t>
      </w:r>
    </w:p>
    <w:p w14:paraId="468947F5" w14:textId="5B3B57A5" w:rsidR="00802855" w:rsidRDefault="00802855" w:rsidP="00802855">
      <w:pPr>
        <w:pStyle w:val="Numreradrubrik2"/>
      </w:pPr>
      <w:r>
        <w:t xml:space="preserve">Potentiellt </w:t>
      </w:r>
      <w:proofErr w:type="spellStart"/>
      <w:r>
        <w:t>nyläge</w:t>
      </w:r>
      <w:proofErr w:type="spellEnd"/>
    </w:p>
    <w:p w14:paraId="315D9CED" w14:textId="6F59F69A" w:rsidR="00CF2A78" w:rsidRPr="00CF2A78" w:rsidRDefault="00CF2A78" w:rsidP="00CF2A78">
      <w:r>
        <w:t xml:space="preserve">Ett potentiellt </w:t>
      </w:r>
      <w:proofErr w:type="spellStart"/>
      <w:r>
        <w:t>nyläge</w:t>
      </w:r>
      <w:proofErr w:type="spellEnd"/>
      <w:r>
        <w:t xml:space="preserve"> i processen för nationell hänvisning förändrar i första hand stödet för att genomföra inringade tre processteg i </w:t>
      </w:r>
      <w:r w:rsidRPr="00CF2A78">
        <w:rPr>
          <w:highlight w:val="yellow"/>
        </w:rPr>
        <w:t>figur 3</w:t>
      </w:r>
      <w:r>
        <w:t xml:space="preserve"> nedan.</w:t>
      </w:r>
    </w:p>
    <w:p w14:paraId="5D05BA95" w14:textId="77777777" w:rsidR="00CF2A78" w:rsidRDefault="00CF2A78" w:rsidP="00CF2A78">
      <w:pPr>
        <w:keepNext/>
      </w:pPr>
      <w:r>
        <w:rPr>
          <w:noProof/>
        </w:rPr>
        <w:drawing>
          <wp:inline distT="0" distB="0" distL="0" distR="0" wp14:anchorId="12417CD3" wp14:editId="421C8587">
            <wp:extent cx="4770755" cy="1621790"/>
            <wp:effectExtent l="0" t="0" r="0" b="0"/>
            <wp:docPr id="10" name="Bildobjekt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rocess11212.png"/>
                    <pic:cNvPicPr/>
                  </pic:nvPicPr>
                  <pic:blipFill>
                    <a:blip r:embed="rId10"/>
                    <a:stretch>
                      <a:fillRect/>
                    </a:stretch>
                  </pic:blipFill>
                  <pic:spPr>
                    <a:xfrm>
                      <a:off x="0" y="0"/>
                      <a:ext cx="4770755" cy="1621790"/>
                    </a:xfrm>
                    <a:prstGeom prst="rect">
                      <a:avLst/>
                    </a:prstGeom>
                  </pic:spPr>
                </pic:pic>
              </a:graphicData>
            </a:graphic>
          </wp:inline>
        </w:drawing>
      </w:r>
    </w:p>
    <w:p w14:paraId="321ED06D" w14:textId="07A4E6B1" w:rsidR="00CF2A78" w:rsidRDefault="00CF2A78" w:rsidP="00CF2A78">
      <w:pPr>
        <w:pStyle w:val="Beskrivning"/>
      </w:pPr>
      <w:r>
        <w:t xml:space="preserve">Figur </w:t>
      </w:r>
      <w:r>
        <w:fldChar w:fldCharType="begin"/>
      </w:r>
      <w:r>
        <w:instrText xml:space="preserve"> SEQ Figur \* ARABIC </w:instrText>
      </w:r>
      <w:r>
        <w:fldChar w:fldCharType="separate"/>
      </w:r>
      <w:r>
        <w:rPr>
          <w:noProof/>
        </w:rPr>
        <w:t>3</w:t>
      </w:r>
      <w:r>
        <w:fldChar w:fldCharType="end"/>
      </w:r>
      <w:r>
        <w:t xml:space="preserve"> - Potentiellt </w:t>
      </w:r>
      <w:proofErr w:type="spellStart"/>
      <w:r>
        <w:t>nyläge</w:t>
      </w:r>
      <w:proofErr w:type="spellEnd"/>
    </w:p>
    <w:p w14:paraId="33F5D285" w14:textId="7DC60785" w:rsidR="00CF2A78" w:rsidRDefault="00CF2A78" w:rsidP="00CF2A78">
      <w:r>
        <w:t>För att adressera de smärtor som är beskrivna har ett antal användningsfall identifierats</w:t>
      </w:r>
    </w:p>
    <w:p w14:paraId="7A2E8577" w14:textId="77777777" w:rsidR="00CF2A78" w:rsidRDefault="00CF2A78" w:rsidP="00CF2A78">
      <w:pPr>
        <w:keepNext/>
      </w:pPr>
      <w:r w:rsidRPr="00CF2A78">
        <w:drawing>
          <wp:inline distT="0" distB="0" distL="0" distR="0" wp14:anchorId="006B5B39" wp14:editId="6F31FC22">
            <wp:extent cx="4770755" cy="2491105"/>
            <wp:effectExtent l="0" t="0" r="0" b="4445"/>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770755" cy="2491105"/>
                    </a:xfrm>
                    <a:prstGeom prst="rect">
                      <a:avLst/>
                    </a:prstGeom>
                  </pic:spPr>
                </pic:pic>
              </a:graphicData>
            </a:graphic>
          </wp:inline>
        </w:drawing>
      </w:r>
    </w:p>
    <w:p w14:paraId="311B6298" w14:textId="0E4ED5FA" w:rsidR="00CF2A78" w:rsidRDefault="00CF2A78" w:rsidP="00CF2A78">
      <w:pPr>
        <w:pStyle w:val="Beskrivning"/>
      </w:pPr>
      <w:r>
        <w:t xml:space="preserve">Figur </w:t>
      </w:r>
      <w:r>
        <w:fldChar w:fldCharType="begin"/>
      </w:r>
      <w:r>
        <w:instrText xml:space="preserve"> SEQ Figur \* ARABIC </w:instrText>
      </w:r>
      <w:r>
        <w:fldChar w:fldCharType="separate"/>
      </w:r>
      <w:r>
        <w:rPr>
          <w:noProof/>
        </w:rPr>
        <w:t>4</w:t>
      </w:r>
      <w:r>
        <w:fldChar w:fldCharType="end"/>
      </w:r>
      <w:r>
        <w:t xml:space="preserve"> - utkast användningsfall</w:t>
      </w:r>
    </w:p>
    <w:p w14:paraId="0173926B" w14:textId="73539C16" w:rsidR="00CF2A78" w:rsidRDefault="00CF2A78" w:rsidP="00CF2A78">
      <w:r>
        <w:t xml:space="preserve">Dessa användningsfall </w:t>
      </w:r>
      <w:r w:rsidR="00F33357">
        <w:t>utgår ifrån de primära intressenter som framkommit under behovsanalysen.</w:t>
      </w:r>
    </w:p>
    <w:p w14:paraId="2E10245B" w14:textId="2D81460C" w:rsidR="00F33357" w:rsidRPr="00F33357" w:rsidRDefault="00F33357" w:rsidP="00CF2A78">
      <w:pPr>
        <w:rPr>
          <w:b/>
        </w:rPr>
      </w:pPr>
      <w:r w:rsidRPr="00F33357">
        <w:rPr>
          <w:b/>
        </w:rPr>
        <w:t>Vårdlotsen</w:t>
      </w:r>
      <w:r>
        <w:rPr>
          <w:b/>
        </w:rPr>
        <w:t xml:space="preserve"> </w:t>
      </w:r>
      <w:r w:rsidRPr="00F33357">
        <w:t xml:space="preserve">önskar att på ett och samma ställe kunna </w:t>
      </w:r>
      <w:r w:rsidRPr="00F33357">
        <w:rPr>
          <w:bCs/>
        </w:rPr>
        <w:t xml:space="preserve">söka efter vårdgivare </w:t>
      </w:r>
      <w:r w:rsidRPr="00F33357">
        <w:t xml:space="preserve">med aktuella avtal. Det ska finnas </w:t>
      </w:r>
      <w:r w:rsidRPr="00F33357">
        <w:rPr>
          <w:bCs/>
        </w:rPr>
        <w:t>direktkontaktuppgifter</w:t>
      </w:r>
      <w:r w:rsidRPr="00F33357">
        <w:t xml:space="preserve"> och information om uppskattade väntetider ska vara uppdaterad. </w:t>
      </w:r>
      <w:r>
        <w:t xml:space="preserve">Informationen ska vara så pass omfattande att vårdlotsen snabbt kan sålla bort alternativ som exempelvis inte kan ta emot mer avancerade patienter (jmf ASA-klass 3 och 4). </w:t>
      </w:r>
      <w:r w:rsidRPr="00F33357">
        <w:rPr>
          <w:highlight w:val="yellow"/>
        </w:rPr>
        <w:t>KLISTRA IN TABELL</w:t>
      </w:r>
    </w:p>
    <w:p w14:paraId="4DA534F4" w14:textId="439D99FC" w:rsidR="00F33357" w:rsidRDefault="00F33357" w:rsidP="00CF2A78">
      <w:pPr>
        <w:rPr>
          <w:color w:val="FF0000"/>
        </w:rPr>
      </w:pPr>
      <w:r w:rsidRPr="00F33357">
        <w:rPr>
          <w:b/>
        </w:rPr>
        <w:lastRenderedPageBreak/>
        <w:t>Kliniken/vårdenheten</w:t>
      </w:r>
      <w:r>
        <w:rPr>
          <w:b/>
        </w:rPr>
        <w:t xml:space="preserve"> </w:t>
      </w:r>
      <w:r>
        <w:t>vill kunna ta del av de vårdalternativ som identifierats på ett strukturerat sätt. I de regioner där vårdlotsar inte finns är det i många fall kliniken/vårdenhetens eget ansvar att hänvisa nationellt, varför de behov som avser vårdlotsen där även avser kliniken</w:t>
      </w:r>
      <w:r w:rsidRPr="00F33357">
        <w:rPr>
          <w:color w:val="FF0000"/>
        </w:rPr>
        <w:t>. I dessa fall måste det dock lyftas att behov som journalintegrering och direkt koppling till remissflödet finns, men att detta inte hanteras inom detta projekt.</w:t>
      </w:r>
    </w:p>
    <w:p w14:paraId="1029310A" w14:textId="6A9A351C" w:rsidR="00132768" w:rsidRPr="00F33357" w:rsidRDefault="00132768" w:rsidP="00CF2A78">
      <w:r>
        <w:t xml:space="preserve">Vidare har kliniken/vårdenheten eller dess vårdgivare ansvar att uppdatera information om väntetider och möjlighet att ta emot inom vårdgarantin (ledig kapacitet). </w:t>
      </w:r>
    </w:p>
    <w:p w14:paraId="05740884" w14:textId="1108FBE3" w:rsidR="00F33357" w:rsidRPr="00F33357" w:rsidRDefault="00F33357" w:rsidP="00CF2A78">
      <w:pPr>
        <w:rPr>
          <w:b/>
        </w:rPr>
      </w:pPr>
      <w:r w:rsidRPr="00F33357">
        <w:rPr>
          <w:b/>
        </w:rPr>
        <w:t>Avtalshandläggaren</w:t>
      </w:r>
      <w:r>
        <w:rPr>
          <w:b/>
        </w:rPr>
        <w:t xml:space="preserve"> </w:t>
      </w:r>
      <w:r w:rsidRPr="00F33357">
        <w:t>vill kunna söka fram avtal inom specifika specialistområden för att kunna dra lärdom från andra regioner när man utformar sina vårdavtal, en positiv bieffekt av en nationell avtalsdatabas skulle vara att man inte behöver lösa problemet regioninternt där det idag är svårt att ens hitta och söka bland de egna avtalen. Vidare är det viktigt att administration och uppdatering av aktuella avtal inte ska vara tidskrävande eller leda till merarbete.</w:t>
      </w:r>
    </w:p>
    <w:p w14:paraId="57415C7B" w14:textId="069B0255" w:rsidR="00F33357" w:rsidRDefault="00132768" w:rsidP="00132768">
      <w:pPr>
        <w:pStyle w:val="Numreradrubrik2"/>
      </w:pPr>
      <w:r>
        <w:t>Informationsbehov</w:t>
      </w:r>
      <w:r w:rsidR="00325A83">
        <w:t xml:space="preserve"> hos primäranvändare</w:t>
      </w:r>
    </w:p>
    <w:p w14:paraId="4EACACE1" w14:textId="2AEDF765" w:rsidR="00132768" w:rsidRDefault="000E074A" w:rsidP="00132768">
      <w:r>
        <w:t xml:space="preserve">Den information som vårdlotsar efterfrågar i sitt arbete att hitta nationella vårdalternativ handlar i grunden om att avgöra om </w:t>
      </w:r>
      <w:r w:rsidR="007F01B8">
        <w:t xml:space="preserve">hus avancerade fall en vårdgivare kan ta emot (ASA-klass, BMI, läkemedelsanvändning </w:t>
      </w:r>
      <w:proofErr w:type="spellStart"/>
      <w:r w:rsidR="007F01B8">
        <w:t>etc</w:t>
      </w:r>
      <w:proofErr w:type="spellEnd"/>
      <w:r w:rsidR="007F01B8">
        <w:t>), om de har regionala avtal och vilka som får skicka remiss på detta avtal samt grundläggande information om vårdgivaren och direktkontaktuppgifter.</w:t>
      </w:r>
    </w:p>
    <w:p w14:paraId="063899DD" w14:textId="7B46E6D2" w:rsidR="00325A83" w:rsidRDefault="00325A83" w:rsidP="00132768">
      <w:r>
        <w:t xml:space="preserve">Syftet med informationen som önskas och bör presenteras är att så många som möjligt att vårdlotsens manuella </w:t>
      </w:r>
      <w:proofErr w:type="spellStart"/>
      <w:r>
        <w:t>arbetssteg</w:t>
      </w:r>
      <w:proofErr w:type="spellEnd"/>
      <w:r>
        <w:t xml:space="preserve"> ska kunna avhjälpas. </w:t>
      </w:r>
    </w:p>
    <w:p w14:paraId="38B926EA" w14:textId="77777777" w:rsidR="007F01B8" w:rsidRDefault="007F01B8" w:rsidP="00132768"/>
    <w:tbl>
      <w:tblPr>
        <w:tblStyle w:val="Tabellrutnt"/>
        <w:tblW w:w="8755" w:type="dxa"/>
        <w:tblLayout w:type="fixed"/>
        <w:tblLook w:val="04A0" w:firstRow="1" w:lastRow="0" w:firstColumn="1" w:lastColumn="0" w:noHBand="0" w:noVBand="1"/>
      </w:tblPr>
      <w:tblGrid>
        <w:gridCol w:w="2518"/>
        <w:gridCol w:w="1701"/>
        <w:gridCol w:w="4536"/>
      </w:tblGrid>
      <w:tr w:rsidR="007F01B8" w14:paraId="3ADB15A9" w14:textId="77777777" w:rsidTr="007F01B8">
        <w:tc>
          <w:tcPr>
            <w:tcW w:w="2518" w:type="dxa"/>
          </w:tcPr>
          <w:p w14:paraId="44CB7317" w14:textId="13CDBEAB" w:rsidR="007F01B8" w:rsidRPr="007F01B8" w:rsidRDefault="007F01B8" w:rsidP="00132768">
            <w:pPr>
              <w:rPr>
                <w:b/>
              </w:rPr>
            </w:pPr>
            <w:r>
              <w:rPr>
                <w:b/>
              </w:rPr>
              <w:t>Avtalskriterier</w:t>
            </w:r>
          </w:p>
        </w:tc>
        <w:tc>
          <w:tcPr>
            <w:tcW w:w="1701" w:type="dxa"/>
          </w:tcPr>
          <w:p w14:paraId="4C0B052F" w14:textId="370D4831" w:rsidR="007F01B8" w:rsidRPr="007F01B8" w:rsidRDefault="007F01B8" w:rsidP="00132768">
            <w:pPr>
              <w:rPr>
                <w:b/>
              </w:rPr>
            </w:pPr>
            <w:r>
              <w:rPr>
                <w:b/>
              </w:rPr>
              <w:t>Exempel</w:t>
            </w:r>
          </w:p>
        </w:tc>
        <w:tc>
          <w:tcPr>
            <w:tcW w:w="4536" w:type="dxa"/>
          </w:tcPr>
          <w:p w14:paraId="5DD2AF05" w14:textId="051C17DB" w:rsidR="007F01B8" w:rsidRPr="007F01B8" w:rsidRDefault="007F01B8" w:rsidP="00132768">
            <w:pPr>
              <w:rPr>
                <w:b/>
              </w:rPr>
            </w:pPr>
            <w:r>
              <w:rPr>
                <w:b/>
              </w:rPr>
              <w:t>Kommentar</w:t>
            </w:r>
          </w:p>
        </w:tc>
      </w:tr>
      <w:tr w:rsidR="007F01B8" w14:paraId="11CD7A6B" w14:textId="77777777" w:rsidTr="007F01B8">
        <w:tc>
          <w:tcPr>
            <w:tcW w:w="2518" w:type="dxa"/>
          </w:tcPr>
          <w:p w14:paraId="01DAC698" w14:textId="4906FAAD" w:rsidR="007F01B8" w:rsidRPr="007F01B8" w:rsidRDefault="007F01B8" w:rsidP="00132768">
            <w:pPr>
              <w:rPr>
                <w:sz w:val="16"/>
                <w:szCs w:val="16"/>
              </w:rPr>
            </w:pPr>
            <w:r w:rsidRPr="007F01B8">
              <w:rPr>
                <w:sz w:val="16"/>
                <w:szCs w:val="16"/>
              </w:rPr>
              <w:t>Barn/vuxen</w:t>
            </w:r>
          </w:p>
        </w:tc>
        <w:tc>
          <w:tcPr>
            <w:tcW w:w="1701" w:type="dxa"/>
          </w:tcPr>
          <w:p w14:paraId="410172A9" w14:textId="42FED36F" w:rsidR="007F01B8" w:rsidRPr="002313AF" w:rsidRDefault="002313AF" w:rsidP="00132768">
            <w:pPr>
              <w:rPr>
                <w:i/>
                <w:sz w:val="16"/>
                <w:szCs w:val="16"/>
              </w:rPr>
            </w:pPr>
            <w:r w:rsidRPr="002313AF">
              <w:rPr>
                <w:i/>
                <w:sz w:val="16"/>
                <w:szCs w:val="16"/>
              </w:rPr>
              <w:t>Barn</w:t>
            </w:r>
          </w:p>
        </w:tc>
        <w:tc>
          <w:tcPr>
            <w:tcW w:w="4536" w:type="dxa"/>
          </w:tcPr>
          <w:p w14:paraId="6F989523" w14:textId="27D36D80" w:rsidR="007F01B8" w:rsidRPr="007F01B8" w:rsidRDefault="002313AF" w:rsidP="00132768">
            <w:pPr>
              <w:rPr>
                <w:sz w:val="16"/>
                <w:szCs w:val="16"/>
              </w:rPr>
            </w:pPr>
            <w:r>
              <w:rPr>
                <w:sz w:val="16"/>
                <w:szCs w:val="16"/>
              </w:rPr>
              <w:t>Anger om avtalet avser vård av barn (&lt;18) eller vuxna (</w:t>
            </w:r>
            <w:proofErr w:type="gramStart"/>
            <w:r>
              <w:rPr>
                <w:sz w:val="16"/>
                <w:szCs w:val="16"/>
              </w:rPr>
              <w:t>19-199</w:t>
            </w:r>
            <w:proofErr w:type="gramEnd"/>
            <w:r>
              <w:rPr>
                <w:sz w:val="16"/>
                <w:szCs w:val="16"/>
              </w:rPr>
              <w:t xml:space="preserve">). </w:t>
            </w:r>
            <w:r w:rsidRPr="002313AF">
              <w:rPr>
                <w:color w:val="FF0000"/>
                <w:sz w:val="16"/>
                <w:szCs w:val="16"/>
              </w:rPr>
              <w:t>Kan det finnas andra åldersindelningar?</w:t>
            </w:r>
          </w:p>
        </w:tc>
      </w:tr>
      <w:tr w:rsidR="007F01B8" w14:paraId="7EB7A18B" w14:textId="77777777" w:rsidTr="007F01B8">
        <w:tc>
          <w:tcPr>
            <w:tcW w:w="2518" w:type="dxa"/>
          </w:tcPr>
          <w:p w14:paraId="12DE2667" w14:textId="14CA8B93" w:rsidR="007F01B8" w:rsidRPr="007F01B8" w:rsidRDefault="007F01B8" w:rsidP="00132768">
            <w:pPr>
              <w:rPr>
                <w:sz w:val="16"/>
                <w:szCs w:val="16"/>
              </w:rPr>
            </w:pPr>
            <w:r w:rsidRPr="007F01B8">
              <w:rPr>
                <w:sz w:val="16"/>
                <w:szCs w:val="16"/>
              </w:rPr>
              <w:t>ASA</w:t>
            </w:r>
            <w:r>
              <w:rPr>
                <w:sz w:val="16"/>
                <w:szCs w:val="16"/>
              </w:rPr>
              <w:t>-klass</w:t>
            </w:r>
            <w:r w:rsidR="00325A83">
              <w:rPr>
                <w:rStyle w:val="Fotnotsreferens"/>
                <w:sz w:val="16"/>
                <w:szCs w:val="16"/>
              </w:rPr>
              <w:footnoteReference w:id="1"/>
            </w:r>
          </w:p>
        </w:tc>
        <w:tc>
          <w:tcPr>
            <w:tcW w:w="1701" w:type="dxa"/>
          </w:tcPr>
          <w:p w14:paraId="6F73F47D" w14:textId="5F45F447" w:rsidR="007F01B8" w:rsidRPr="002313AF" w:rsidRDefault="002313AF" w:rsidP="00132768">
            <w:pPr>
              <w:rPr>
                <w:i/>
                <w:sz w:val="16"/>
                <w:szCs w:val="16"/>
              </w:rPr>
            </w:pPr>
            <w:r w:rsidRPr="002313AF">
              <w:rPr>
                <w:i/>
                <w:sz w:val="16"/>
                <w:szCs w:val="16"/>
              </w:rPr>
              <w:t>1,2,3,4</w:t>
            </w:r>
          </w:p>
        </w:tc>
        <w:tc>
          <w:tcPr>
            <w:tcW w:w="4536" w:type="dxa"/>
          </w:tcPr>
          <w:p w14:paraId="4E774CA8" w14:textId="49E99B17" w:rsidR="007F01B8" w:rsidRPr="007F01B8" w:rsidRDefault="007F01B8" w:rsidP="00132768">
            <w:pPr>
              <w:rPr>
                <w:sz w:val="16"/>
                <w:szCs w:val="16"/>
              </w:rPr>
            </w:pPr>
            <w:r>
              <w:rPr>
                <w:sz w:val="16"/>
                <w:szCs w:val="16"/>
              </w:rPr>
              <w:t>Anger vilka patientkategorier utifrån klassificeringen ASA-klass som en vårdgivare kan ta emot.</w:t>
            </w:r>
          </w:p>
        </w:tc>
      </w:tr>
      <w:tr w:rsidR="007F01B8" w14:paraId="5EB46340" w14:textId="77777777" w:rsidTr="007F01B8">
        <w:tc>
          <w:tcPr>
            <w:tcW w:w="2518" w:type="dxa"/>
          </w:tcPr>
          <w:p w14:paraId="65BD5225" w14:textId="1E051427" w:rsidR="007F01B8" w:rsidRPr="007F01B8" w:rsidRDefault="007F01B8" w:rsidP="00132768">
            <w:pPr>
              <w:rPr>
                <w:sz w:val="16"/>
                <w:szCs w:val="16"/>
              </w:rPr>
            </w:pPr>
            <w:r w:rsidRPr="007F01B8">
              <w:rPr>
                <w:sz w:val="16"/>
                <w:szCs w:val="16"/>
              </w:rPr>
              <w:t>BMI</w:t>
            </w:r>
          </w:p>
        </w:tc>
        <w:tc>
          <w:tcPr>
            <w:tcW w:w="1701" w:type="dxa"/>
          </w:tcPr>
          <w:p w14:paraId="2B055100" w14:textId="728257CC" w:rsidR="007F01B8" w:rsidRPr="002313AF" w:rsidRDefault="002313AF" w:rsidP="00132768">
            <w:pPr>
              <w:rPr>
                <w:i/>
                <w:sz w:val="16"/>
                <w:szCs w:val="16"/>
              </w:rPr>
            </w:pPr>
            <w:r w:rsidRPr="002313AF">
              <w:rPr>
                <w:i/>
                <w:sz w:val="16"/>
                <w:szCs w:val="16"/>
              </w:rPr>
              <w:t>&lt;35</w:t>
            </w:r>
          </w:p>
        </w:tc>
        <w:tc>
          <w:tcPr>
            <w:tcW w:w="4536" w:type="dxa"/>
          </w:tcPr>
          <w:p w14:paraId="060134A3" w14:textId="131CD435" w:rsidR="007F01B8" w:rsidRPr="007F01B8" w:rsidRDefault="007F01B8" w:rsidP="00132768">
            <w:pPr>
              <w:rPr>
                <w:sz w:val="16"/>
                <w:szCs w:val="16"/>
              </w:rPr>
            </w:pPr>
            <w:r>
              <w:rPr>
                <w:sz w:val="16"/>
                <w:szCs w:val="16"/>
              </w:rPr>
              <w:t xml:space="preserve">Anger </w:t>
            </w:r>
            <w:r w:rsidR="002313AF">
              <w:rPr>
                <w:sz w:val="16"/>
                <w:szCs w:val="16"/>
              </w:rPr>
              <w:t>om vårdgivaren har en begränsning avseende patienters BMI (denna kan eventuellt argumenteras för att ingå i ASA-klassificeringen)</w:t>
            </w:r>
          </w:p>
        </w:tc>
      </w:tr>
      <w:tr w:rsidR="007F01B8" w14:paraId="5E0D613E" w14:textId="77777777" w:rsidTr="007F01B8">
        <w:tc>
          <w:tcPr>
            <w:tcW w:w="2518" w:type="dxa"/>
          </w:tcPr>
          <w:p w14:paraId="64D3DA97" w14:textId="40C2C247" w:rsidR="007F01B8" w:rsidRPr="007F01B8" w:rsidRDefault="007F01B8" w:rsidP="007F01B8">
            <w:pPr>
              <w:rPr>
                <w:sz w:val="16"/>
                <w:szCs w:val="16"/>
              </w:rPr>
            </w:pPr>
            <w:r>
              <w:rPr>
                <w:sz w:val="16"/>
                <w:szCs w:val="16"/>
              </w:rPr>
              <w:t>Krav på att patient ska vara färdigutredd</w:t>
            </w:r>
          </w:p>
        </w:tc>
        <w:tc>
          <w:tcPr>
            <w:tcW w:w="1701" w:type="dxa"/>
          </w:tcPr>
          <w:p w14:paraId="2E75AF05" w14:textId="6F93D64A" w:rsidR="007F01B8" w:rsidRPr="002313AF" w:rsidRDefault="002313AF" w:rsidP="007F01B8">
            <w:pPr>
              <w:rPr>
                <w:i/>
                <w:sz w:val="16"/>
                <w:szCs w:val="16"/>
              </w:rPr>
            </w:pPr>
            <w:r w:rsidRPr="002313AF">
              <w:rPr>
                <w:i/>
                <w:sz w:val="16"/>
                <w:szCs w:val="16"/>
              </w:rPr>
              <w:t>Ja/nej</w:t>
            </w:r>
          </w:p>
        </w:tc>
        <w:tc>
          <w:tcPr>
            <w:tcW w:w="4536" w:type="dxa"/>
          </w:tcPr>
          <w:p w14:paraId="73C81653" w14:textId="1DE564F6" w:rsidR="007F01B8" w:rsidRPr="007F01B8" w:rsidRDefault="007F01B8" w:rsidP="007F01B8">
            <w:pPr>
              <w:rPr>
                <w:sz w:val="16"/>
                <w:szCs w:val="16"/>
              </w:rPr>
            </w:pPr>
          </w:p>
        </w:tc>
      </w:tr>
      <w:tr w:rsidR="007F01B8" w14:paraId="26E11A7B" w14:textId="77777777" w:rsidTr="007F01B8">
        <w:tc>
          <w:tcPr>
            <w:tcW w:w="2518" w:type="dxa"/>
          </w:tcPr>
          <w:p w14:paraId="499ECA6B" w14:textId="0AA4002D" w:rsidR="007F01B8" w:rsidRPr="007F01B8" w:rsidRDefault="007F01B8" w:rsidP="007F01B8">
            <w:pPr>
              <w:rPr>
                <w:sz w:val="16"/>
                <w:szCs w:val="16"/>
              </w:rPr>
            </w:pPr>
            <w:r>
              <w:rPr>
                <w:sz w:val="16"/>
                <w:szCs w:val="16"/>
              </w:rPr>
              <w:t>Krav på att patient ska stå i kö till specialistvård</w:t>
            </w:r>
          </w:p>
        </w:tc>
        <w:tc>
          <w:tcPr>
            <w:tcW w:w="1701" w:type="dxa"/>
          </w:tcPr>
          <w:p w14:paraId="6BC8369F" w14:textId="39C2EE22" w:rsidR="007F01B8" w:rsidRPr="002313AF" w:rsidRDefault="002313AF" w:rsidP="007F01B8">
            <w:pPr>
              <w:rPr>
                <w:i/>
                <w:sz w:val="16"/>
                <w:szCs w:val="16"/>
              </w:rPr>
            </w:pPr>
            <w:r w:rsidRPr="002313AF">
              <w:rPr>
                <w:i/>
                <w:sz w:val="16"/>
                <w:szCs w:val="16"/>
              </w:rPr>
              <w:t>Ja/nej</w:t>
            </w:r>
          </w:p>
        </w:tc>
        <w:tc>
          <w:tcPr>
            <w:tcW w:w="4536" w:type="dxa"/>
          </w:tcPr>
          <w:p w14:paraId="7AE46419" w14:textId="17CDA6BC" w:rsidR="007F01B8" w:rsidRPr="007F01B8" w:rsidRDefault="007F01B8" w:rsidP="007F01B8">
            <w:pPr>
              <w:rPr>
                <w:sz w:val="16"/>
                <w:szCs w:val="16"/>
              </w:rPr>
            </w:pPr>
          </w:p>
        </w:tc>
      </w:tr>
      <w:tr w:rsidR="007F01B8" w14:paraId="00F758EA" w14:textId="77777777" w:rsidTr="007F01B8">
        <w:tc>
          <w:tcPr>
            <w:tcW w:w="2518" w:type="dxa"/>
          </w:tcPr>
          <w:p w14:paraId="77DA93D6" w14:textId="584B9221" w:rsidR="007F01B8" w:rsidRPr="007F01B8" w:rsidRDefault="007F01B8" w:rsidP="00132768">
            <w:pPr>
              <w:rPr>
                <w:sz w:val="16"/>
                <w:szCs w:val="16"/>
              </w:rPr>
            </w:pPr>
            <w:r>
              <w:rPr>
                <w:sz w:val="16"/>
                <w:szCs w:val="16"/>
              </w:rPr>
              <w:lastRenderedPageBreak/>
              <w:t>Läkemedelsbegränsning</w:t>
            </w:r>
          </w:p>
        </w:tc>
        <w:tc>
          <w:tcPr>
            <w:tcW w:w="1701" w:type="dxa"/>
          </w:tcPr>
          <w:p w14:paraId="17666431" w14:textId="61677876" w:rsidR="007F01B8" w:rsidRPr="007F01B8" w:rsidRDefault="007F01B8" w:rsidP="00132768">
            <w:pPr>
              <w:rPr>
                <w:sz w:val="16"/>
                <w:szCs w:val="16"/>
              </w:rPr>
            </w:pPr>
          </w:p>
        </w:tc>
        <w:tc>
          <w:tcPr>
            <w:tcW w:w="4536" w:type="dxa"/>
          </w:tcPr>
          <w:p w14:paraId="4E1E718F" w14:textId="548C07F6" w:rsidR="007F01B8" w:rsidRDefault="002313AF" w:rsidP="00132768">
            <w:pPr>
              <w:rPr>
                <w:sz w:val="16"/>
                <w:szCs w:val="16"/>
              </w:rPr>
            </w:pPr>
            <w:r>
              <w:rPr>
                <w:sz w:val="16"/>
                <w:szCs w:val="16"/>
              </w:rPr>
              <w:t>Finns det läkemedel som en patient tar som diskvalificerar hänvisning av vård till specifik vårdgivare?</w:t>
            </w:r>
          </w:p>
        </w:tc>
      </w:tr>
      <w:tr w:rsidR="007F01B8" w14:paraId="58133055" w14:textId="77777777" w:rsidTr="007F01B8">
        <w:tc>
          <w:tcPr>
            <w:tcW w:w="2518" w:type="dxa"/>
          </w:tcPr>
          <w:p w14:paraId="7FC18175" w14:textId="24D43E05" w:rsidR="007F01B8" w:rsidRDefault="007F01B8" w:rsidP="00132768">
            <w:pPr>
              <w:rPr>
                <w:sz w:val="16"/>
                <w:szCs w:val="16"/>
              </w:rPr>
            </w:pPr>
            <w:r>
              <w:rPr>
                <w:sz w:val="16"/>
                <w:szCs w:val="16"/>
              </w:rPr>
              <w:t>Möjliga åtgärder (KVÅ)</w:t>
            </w:r>
          </w:p>
        </w:tc>
        <w:tc>
          <w:tcPr>
            <w:tcW w:w="1701" w:type="dxa"/>
          </w:tcPr>
          <w:p w14:paraId="3D9059A5" w14:textId="77777777" w:rsidR="007F01B8" w:rsidRPr="007F01B8" w:rsidRDefault="007F01B8" w:rsidP="00132768">
            <w:pPr>
              <w:rPr>
                <w:sz w:val="16"/>
                <w:szCs w:val="16"/>
              </w:rPr>
            </w:pPr>
          </w:p>
        </w:tc>
        <w:tc>
          <w:tcPr>
            <w:tcW w:w="4536" w:type="dxa"/>
          </w:tcPr>
          <w:p w14:paraId="65CBD765" w14:textId="70A4FABE" w:rsidR="007F01B8" w:rsidRDefault="002313AF" w:rsidP="00132768">
            <w:pPr>
              <w:rPr>
                <w:sz w:val="16"/>
                <w:szCs w:val="16"/>
              </w:rPr>
            </w:pPr>
            <w:r>
              <w:rPr>
                <w:sz w:val="16"/>
                <w:szCs w:val="16"/>
              </w:rPr>
              <w:t>Vilka åtgärder utför vårdgivaren enligt avtal</w:t>
            </w:r>
          </w:p>
        </w:tc>
      </w:tr>
      <w:tr w:rsidR="007F01B8" w14:paraId="147B2169" w14:textId="77777777" w:rsidTr="007F01B8">
        <w:tc>
          <w:tcPr>
            <w:tcW w:w="2518" w:type="dxa"/>
          </w:tcPr>
          <w:p w14:paraId="3D58B3DE" w14:textId="76F00ABE" w:rsidR="007F01B8" w:rsidRDefault="007F01B8" w:rsidP="00132768">
            <w:pPr>
              <w:rPr>
                <w:sz w:val="16"/>
                <w:szCs w:val="16"/>
              </w:rPr>
            </w:pPr>
            <w:r>
              <w:rPr>
                <w:sz w:val="16"/>
                <w:szCs w:val="16"/>
              </w:rPr>
              <w:t>Behandlade diagnoser (ICD-10)</w:t>
            </w:r>
          </w:p>
        </w:tc>
        <w:tc>
          <w:tcPr>
            <w:tcW w:w="1701" w:type="dxa"/>
          </w:tcPr>
          <w:p w14:paraId="0EF91FF3" w14:textId="77777777" w:rsidR="007F01B8" w:rsidRPr="007F01B8" w:rsidRDefault="007F01B8" w:rsidP="00132768">
            <w:pPr>
              <w:rPr>
                <w:sz w:val="16"/>
                <w:szCs w:val="16"/>
              </w:rPr>
            </w:pPr>
          </w:p>
        </w:tc>
        <w:tc>
          <w:tcPr>
            <w:tcW w:w="4536" w:type="dxa"/>
          </w:tcPr>
          <w:p w14:paraId="064B5EA9" w14:textId="7AECFFD7" w:rsidR="007F01B8" w:rsidRDefault="002313AF" w:rsidP="00132768">
            <w:pPr>
              <w:rPr>
                <w:sz w:val="16"/>
                <w:szCs w:val="16"/>
              </w:rPr>
            </w:pPr>
            <w:r>
              <w:rPr>
                <w:sz w:val="16"/>
                <w:szCs w:val="16"/>
              </w:rPr>
              <w:t>Vilka diagnoser behandlar vårdgivaren enligt avtal</w:t>
            </w:r>
          </w:p>
        </w:tc>
      </w:tr>
      <w:tr w:rsidR="007F01B8" w14:paraId="435B6EEA" w14:textId="77777777" w:rsidTr="007F01B8">
        <w:tc>
          <w:tcPr>
            <w:tcW w:w="2518" w:type="dxa"/>
          </w:tcPr>
          <w:p w14:paraId="0BA8C844" w14:textId="7628CB50" w:rsidR="007F01B8" w:rsidRDefault="007F01B8" w:rsidP="007F01B8">
            <w:pPr>
              <w:rPr>
                <w:sz w:val="16"/>
                <w:szCs w:val="16"/>
              </w:rPr>
            </w:pPr>
            <w:r w:rsidRPr="007F01B8">
              <w:rPr>
                <w:b/>
              </w:rPr>
              <w:t>Avtals</w:t>
            </w:r>
            <w:r>
              <w:rPr>
                <w:b/>
              </w:rPr>
              <w:t>formalia</w:t>
            </w:r>
          </w:p>
        </w:tc>
        <w:tc>
          <w:tcPr>
            <w:tcW w:w="1701" w:type="dxa"/>
          </w:tcPr>
          <w:p w14:paraId="65178D9A" w14:textId="0E69436C" w:rsidR="007F01B8" w:rsidRPr="007F01B8" w:rsidRDefault="007F01B8" w:rsidP="007F01B8">
            <w:pPr>
              <w:rPr>
                <w:sz w:val="16"/>
                <w:szCs w:val="16"/>
              </w:rPr>
            </w:pPr>
          </w:p>
        </w:tc>
        <w:tc>
          <w:tcPr>
            <w:tcW w:w="4536" w:type="dxa"/>
          </w:tcPr>
          <w:p w14:paraId="53A02FED" w14:textId="77777777" w:rsidR="007F01B8" w:rsidRDefault="007F01B8" w:rsidP="007F01B8">
            <w:pPr>
              <w:rPr>
                <w:sz w:val="16"/>
                <w:szCs w:val="16"/>
              </w:rPr>
            </w:pPr>
          </w:p>
        </w:tc>
      </w:tr>
      <w:tr w:rsidR="007F01B8" w14:paraId="15A34453" w14:textId="77777777" w:rsidTr="007F01B8">
        <w:tc>
          <w:tcPr>
            <w:tcW w:w="2518" w:type="dxa"/>
          </w:tcPr>
          <w:p w14:paraId="4B755BAC" w14:textId="71F58E7C" w:rsidR="007F01B8" w:rsidRDefault="007F01B8" w:rsidP="007F01B8">
            <w:pPr>
              <w:rPr>
                <w:sz w:val="16"/>
                <w:szCs w:val="16"/>
              </w:rPr>
            </w:pPr>
            <w:r>
              <w:rPr>
                <w:sz w:val="16"/>
                <w:szCs w:val="16"/>
              </w:rPr>
              <w:t xml:space="preserve">Möjlighet att skicka </w:t>
            </w:r>
            <w:r w:rsidR="002313AF">
              <w:rPr>
                <w:sz w:val="16"/>
                <w:szCs w:val="16"/>
              </w:rPr>
              <w:t>direkt</w:t>
            </w:r>
            <w:r w:rsidRPr="007F01B8">
              <w:rPr>
                <w:sz w:val="16"/>
                <w:szCs w:val="16"/>
              </w:rPr>
              <w:t>remiss</w:t>
            </w:r>
          </w:p>
        </w:tc>
        <w:tc>
          <w:tcPr>
            <w:tcW w:w="1701" w:type="dxa"/>
          </w:tcPr>
          <w:p w14:paraId="704AB4B7" w14:textId="0DBA9474" w:rsidR="007F01B8" w:rsidRPr="002313AF" w:rsidRDefault="002313AF" w:rsidP="007F01B8">
            <w:pPr>
              <w:rPr>
                <w:i/>
                <w:sz w:val="16"/>
                <w:szCs w:val="16"/>
              </w:rPr>
            </w:pPr>
            <w:r w:rsidRPr="002313AF">
              <w:rPr>
                <w:i/>
                <w:sz w:val="16"/>
                <w:szCs w:val="16"/>
              </w:rPr>
              <w:t>Ja/nej</w:t>
            </w:r>
          </w:p>
        </w:tc>
        <w:tc>
          <w:tcPr>
            <w:tcW w:w="4536" w:type="dxa"/>
          </w:tcPr>
          <w:p w14:paraId="7D03CB82" w14:textId="77777777" w:rsidR="007F01B8" w:rsidRDefault="007F01B8" w:rsidP="007F01B8">
            <w:pPr>
              <w:rPr>
                <w:sz w:val="16"/>
                <w:szCs w:val="16"/>
              </w:rPr>
            </w:pPr>
          </w:p>
        </w:tc>
      </w:tr>
      <w:tr w:rsidR="007F01B8" w14:paraId="06D224A4" w14:textId="77777777" w:rsidTr="007F01B8">
        <w:tc>
          <w:tcPr>
            <w:tcW w:w="2518" w:type="dxa"/>
          </w:tcPr>
          <w:p w14:paraId="3A14A17D" w14:textId="022C280B" w:rsidR="007F01B8" w:rsidRDefault="007F01B8" w:rsidP="007F01B8">
            <w:pPr>
              <w:rPr>
                <w:sz w:val="16"/>
                <w:szCs w:val="16"/>
              </w:rPr>
            </w:pPr>
            <w:r>
              <w:rPr>
                <w:sz w:val="16"/>
                <w:szCs w:val="16"/>
              </w:rPr>
              <w:t>Möjlighet att skicka e</w:t>
            </w:r>
            <w:r w:rsidRPr="007F01B8">
              <w:rPr>
                <w:sz w:val="16"/>
                <w:szCs w:val="16"/>
              </w:rPr>
              <w:t>genremiss</w:t>
            </w:r>
          </w:p>
        </w:tc>
        <w:tc>
          <w:tcPr>
            <w:tcW w:w="1701" w:type="dxa"/>
          </w:tcPr>
          <w:p w14:paraId="44840BBB" w14:textId="7B3EBF6B" w:rsidR="007F01B8" w:rsidRPr="002313AF" w:rsidRDefault="002313AF" w:rsidP="007F01B8">
            <w:pPr>
              <w:rPr>
                <w:i/>
                <w:sz w:val="16"/>
                <w:szCs w:val="16"/>
              </w:rPr>
            </w:pPr>
            <w:r w:rsidRPr="002313AF">
              <w:rPr>
                <w:i/>
                <w:sz w:val="16"/>
                <w:szCs w:val="16"/>
              </w:rPr>
              <w:t>Ja/nej</w:t>
            </w:r>
          </w:p>
        </w:tc>
        <w:tc>
          <w:tcPr>
            <w:tcW w:w="4536" w:type="dxa"/>
          </w:tcPr>
          <w:p w14:paraId="18C2DE2D" w14:textId="40056DC9" w:rsidR="007F01B8" w:rsidRDefault="002313AF" w:rsidP="007F01B8">
            <w:pPr>
              <w:rPr>
                <w:sz w:val="16"/>
                <w:szCs w:val="16"/>
              </w:rPr>
            </w:pPr>
            <w:r>
              <w:rPr>
                <w:sz w:val="16"/>
                <w:szCs w:val="16"/>
              </w:rPr>
              <w:t xml:space="preserve">Får en patient skicka egenremiss på avtalet </w:t>
            </w:r>
          </w:p>
        </w:tc>
      </w:tr>
      <w:tr w:rsidR="007F01B8" w14:paraId="167EC091" w14:textId="77777777" w:rsidTr="007F01B8">
        <w:tc>
          <w:tcPr>
            <w:tcW w:w="2518" w:type="dxa"/>
          </w:tcPr>
          <w:p w14:paraId="52BF830F" w14:textId="7308D6E7" w:rsidR="007F01B8" w:rsidRDefault="007F01B8" w:rsidP="007F01B8">
            <w:pPr>
              <w:rPr>
                <w:sz w:val="16"/>
                <w:szCs w:val="16"/>
              </w:rPr>
            </w:pPr>
            <w:r w:rsidRPr="007F01B8">
              <w:rPr>
                <w:sz w:val="16"/>
                <w:szCs w:val="16"/>
              </w:rPr>
              <w:t>Regionbegränsning</w:t>
            </w:r>
            <w:r>
              <w:rPr>
                <w:sz w:val="16"/>
                <w:szCs w:val="16"/>
              </w:rPr>
              <w:t xml:space="preserve"> för att skicka remiss</w:t>
            </w:r>
          </w:p>
        </w:tc>
        <w:tc>
          <w:tcPr>
            <w:tcW w:w="1701" w:type="dxa"/>
          </w:tcPr>
          <w:p w14:paraId="1813A859" w14:textId="34D9B351" w:rsidR="007F01B8" w:rsidRPr="002313AF" w:rsidRDefault="002313AF" w:rsidP="007F01B8">
            <w:pPr>
              <w:rPr>
                <w:i/>
                <w:sz w:val="16"/>
                <w:szCs w:val="16"/>
              </w:rPr>
            </w:pPr>
            <w:r w:rsidRPr="002313AF">
              <w:rPr>
                <w:i/>
                <w:sz w:val="16"/>
                <w:szCs w:val="16"/>
              </w:rPr>
              <w:t>Region Östergötland och Region Kalmar Län</w:t>
            </w:r>
          </w:p>
        </w:tc>
        <w:tc>
          <w:tcPr>
            <w:tcW w:w="4536" w:type="dxa"/>
          </w:tcPr>
          <w:p w14:paraId="452E2643" w14:textId="71A101EA" w:rsidR="007F01B8" w:rsidRDefault="002313AF" w:rsidP="007F01B8">
            <w:pPr>
              <w:rPr>
                <w:sz w:val="16"/>
                <w:szCs w:val="16"/>
              </w:rPr>
            </w:pPr>
            <w:r>
              <w:rPr>
                <w:sz w:val="16"/>
                <w:szCs w:val="16"/>
              </w:rPr>
              <w:t>Om enbart viss/vissa regioner får skicka remiss på aktuellt avtal. Förekommer exempelvis inom vissa sjukvårdsregioner.</w:t>
            </w:r>
          </w:p>
        </w:tc>
      </w:tr>
      <w:tr w:rsidR="007F01B8" w14:paraId="0C12AE6B" w14:textId="77777777" w:rsidTr="007F01B8">
        <w:tc>
          <w:tcPr>
            <w:tcW w:w="2518" w:type="dxa"/>
          </w:tcPr>
          <w:p w14:paraId="1CD5CF1A" w14:textId="352962DE" w:rsidR="007F01B8" w:rsidRDefault="007F01B8" w:rsidP="007F01B8">
            <w:pPr>
              <w:rPr>
                <w:sz w:val="16"/>
                <w:szCs w:val="16"/>
              </w:rPr>
            </w:pPr>
            <w:r>
              <w:rPr>
                <w:sz w:val="16"/>
                <w:szCs w:val="16"/>
              </w:rPr>
              <w:t>Professionsbegränsning för att skicka remiss</w:t>
            </w:r>
          </w:p>
        </w:tc>
        <w:tc>
          <w:tcPr>
            <w:tcW w:w="1701" w:type="dxa"/>
          </w:tcPr>
          <w:p w14:paraId="5176DFA0" w14:textId="51A8D0A8" w:rsidR="007F01B8" w:rsidRPr="002313AF" w:rsidRDefault="002313AF" w:rsidP="007F01B8">
            <w:pPr>
              <w:rPr>
                <w:i/>
                <w:sz w:val="16"/>
                <w:szCs w:val="16"/>
              </w:rPr>
            </w:pPr>
            <w:r w:rsidRPr="002313AF">
              <w:rPr>
                <w:i/>
                <w:sz w:val="16"/>
                <w:szCs w:val="16"/>
              </w:rPr>
              <w:t>Neurologer</w:t>
            </w:r>
          </w:p>
        </w:tc>
        <w:tc>
          <w:tcPr>
            <w:tcW w:w="4536" w:type="dxa"/>
          </w:tcPr>
          <w:p w14:paraId="586DEC64" w14:textId="6CF1671D" w:rsidR="007F01B8" w:rsidRDefault="002313AF" w:rsidP="007F01B8">
            <w:pPr>
              <w:rPr>
                <w:sz w:val="16"/>
                <w:szCs w:val="16"/>
              </w:rPr>
            </w:pPr>
            <w:r>
              <w:rPr>
                <w:sz w:val="16"/>
                <w:szCs w:val="16"/>
              </w:rPr>
              <w:t>Om enbart vissa professioner skicka remiss på aktuellt avtal</w:t>
            </w:r>
          </w:p>
        </w:tc>
      </w:tr>
      <w:tr w:rsidR="007F01B8" w14:paraId="152717F2" w14:textId="77777777" w:rsidTr="007F01B8">
        <w:tc>
          <w:tcPr>
            <w:tcW w:w="2518" w:type="dxa"/>
          </w:tcPr>
          <w:p w14:paraId="1A0A1AEB" w14:textId="0FC2AE4D" w:rsidR="007F01B8" w:rsidRDefault="007F01B8" w:rsidP="007F01B8">
            <w:pPr>
              <w:rPr>
                <w:sz w:val="16"/>
                <w:szCs w:val="16"/>
              </w:rPr>
            </w:pPr>
            <w:r>
              <w:rPr>
                <w:sz w:val="16"/>
                <w:szCs w:val="16"/>
              </w:rPr>
              <w:t>Giltighetstid</w:t>
            </w:r>
          </w:p>
        </w:tc>
        <w:tc>
          <w:tcPr>
            <w:tcW w:w="1701" w:type="dxa"/>
          </w:tcPr>
          <w:p w14:paraId="10B7628B" w14:textId="6C77115E" w:rsidR="007F01B8" w:rsidRPr="002313AF" w:rsidRDefault="002313AF" w:rsidP="007F01B8">
            <w:pPr>
              <w:rPr>
                <w:i/>
                <w:sz w:val="16"/>
                <w:szCs w:val="16"/>
              </w:rPr>
            </w:pPr>
            <w:r w:rsidRPr="002313AF">
              <w:rPr>
                <w:i/>
                <w:sz w:val="16"/>
                <w:szCs w:val="16"/>
              </w:rPr>
              <w:t>2021-09-09 - 2026-09-09</w:t>
            </w:r>
          </w:p>
        </w:tc>
        <w:tc>
          <w:tcPr>
            <w:tcW w:w="4536" w:type="dxa"/>
          </w:tcPr>
          <w:p w14:paraId="664C38AC" w14:textId="77777777" w:rsidR="007F01B8" w:rsidRDefault="007F01B8" w:rsidP="007F01B8">
            <w:pPr>
              <w:rPr>
                <w:sz w:val="16"/>
                <w:szCs w:val="16"/>
              </w:rPr>
            </w:pPr>
          </w:p>
        </w:tc>
      </w:tr>
      <w:tr w:rsidR="007F01B8" w14:paraId="4D1B36C3" w14:textId="77777777" w:rsidTr="007F01B8">
        <w:tc>
          <w:tcPr>
            <w:tcW w:w="2518" w:type="dxa"/>
          </w:tcPr>
          <w:p w14:paraId="7C11752C" w14:textId="3AA576AC" w:rsidR="007F01B8" w:rsidRDefault="007F01B8" w:rsidP="007F01B8">
            <w:pPr>
              <w:rPr>
                <w:sz w:val="16"/>
                <w:szCs w:val="16"/>
              </w:rPr>
            </w:pPr>
            <w:r>
              <w:rPr>
                <w:sz w:val="16"/>
                <w:szCs w:val="16"/>
              </w:rPr>
              <w:t>Avtalstyp</w:t>
            </w:r>
          </w:p>
        </w:tc>
        <w:tc>
          <w:tcPr>
            <w:tcW w:w="1701" w:type="dxa"/>
          </w:tcPr>
          <w:p w14:paraId="44C9185D" w14:textId="43708323" w:rsidR="007F01B8" w:rsidRPr="002313AF" w:rsidRDefault="002313AF" w:rsidP="007F01B8">
            <w:pPr>
              <w:rPr>
                <w:i/>
                <w:sz w:val="16"/>
                <w:szCs w:val="16"/>
              </w:rPr>
            </w:pPr>
            <w:r w:rsidRPr="002313AF">
              <w:rPr>
                <w:i/>
                <w:sz w:val="16"/>
                <w:szCs w:val="16"/>
              </w:rPr>
              <w:t>LOU, LOV, LOL, LOF</w:t>
            </w:r>
          </w:p>
        </w:tc>
        <w:tc>
          <w:tcPr>
            <w:tcW w:w="4536" w:type="dxa"/>
          </w:tcPr>
          <w:p w14:paraId="71B87987" w14:textId="77777777" w:rsidR="007F01B8" w:rsidRDefault="007F01B8" w:rsidP="007F01B8">
            <w:pPr>
              <w:rPr>
                <w:sz w:val="16"/>
                <w:szCs w:val="16"/>
              </w:rPr>
            </w:pPr>
          </w:p>
        </w:tc>
      </w:tr>
      <w:tr w:rsidR="002313AF" w14:paraId="2890AE8D" w14:textId="77777777" w:rsidTr="007F01B8">
        <w:tc>
          <w:tcPr>
            <w:tcW w:w="2518" w:type="dxa"/>
          </w:tcPr>
          <w:p w14:paraId="32E32D05" w14:textId="5D7884F7" w:rsidR="002313AF" w:rsidRDefault="002313AF" w:rsidP="007F01B8">
            <w:pPr>
              <w:rPr>
                <w:sz w:val="16"/>
                <w:szCs w:val="16"/>
              </w:rPr>
            </w:pPr>
            <w:r>
              <w:rPr>
                <w:sz w:val="16"/>
                <w:szCs w:val="16"/>
              </w:rPr>
              <w:t>Avtalsregion</w:t>
            </w:r>
          </w:p>
        </w:tc>
        <w:tc>
          <w:tcPr>
            <w:tcW w:w="1701" w:type="dxa"/>
          </w:tcPr>
          <w:p w14:paraId="5042F6ED" w14:textId="027F2245" w:rsidR="002313AF" w:rsidRPr="002313AF" w:rsidRDefault="002313AF" w:rsidP="007F01B8">
            <w:pPr>
              <w:rPr>
                <w:i/>
                <w:sz w:val="16"/>
                <w:szCs w:val="16"/>
              </w:rPr>
            </w:pPr>
            <w:r w:rsidRPr="002313AF">
              <w:rPr>
                <w:i/>
                <w:sz w:val="16"/>
                <w:szCs w:val="16"/>
              </w:rPr>
              <w:t>Region Stockholm</w:t>
            </w:r>
          </w:p>
        </w:tc>
        <w:tc>
          <w:tcPr>
            <w:tcW w:w="4536" w:type="dxa"/>
          </w:tcPr>
          <w:p w14:paraId="3407C155" w14:textId="336C1264" w:rsidR="002313AF" w:rsidRDefault="002313AF" w:rsidP="007F01B8">
            <w:pPr>
              <w:rPr>
                <w:sz w:val="16"/>
                <w:szCs w:val="16"/>
              </w:rPr>
            </w:pPr>
            <w:r>
              <w:rPr>
                <w:sz w:val="16"/>
                <w:szCs w:val="16"/>
              </w:rPr>
              <w:t>Vilken region som avtalat med vårdgivaren. Information viktig för remisshantering.</w:t>
            </w:r>
          </w:p>
        </w:tc>
      </w:tr>
      <w:tr w:rsidR="00325A83" w14:paraId="7CE5DD26" w14:textId="77777777" w:rsidTr="007F01B8">
        <w:tc>
          <w:tcPr>
            <w:tcW w:w="2518" w:type="dxa"/>
          </w:tcPr>
          <w:p w14:paraId="6756CBE1" w14:textId="2442A11A" w:rsidR="00325A83" w:rsidRDefault="00325A83" w:rsidP="007F01B8">
            <w:pPr>
              <w:rPr>
                <w:sz w:val="16"/>
                <w:szCs w:val="16"/>
              </w:rPr>
            </w:pPr>
            <w:r>
              <w:rPr>
                <w:sz w:val="16"/>
                <w:szCs w:val="16"/>
              </w:rPr>
              <w:t>Avtalsdokument (Dokument, URL, avtalsnummer)</w:t>
            </w:r>
          </w:p>
        </w:tc>
        <w:tc>
          <w:tcPr>
            <w:tcW w:w="1701" w:type="dxa"/>
          </w:tcPr>
          <w:p w14:paraId="07D86676" w14:textId="183B0F11" w:rsidR="00325A83" w:rsidRPr="002313AF" w:rsidRDefault="00325A83" w:rsidP="007F01B8">
            <w:pPr>
              <w:rPr>
                <w:i/>
                <w:sz w:val="16"/>
                <w:szCs w:val="16"/>
              </w:rPr>
            </w:pPr>
            <w:r>
              <w:rPr>
                <w:i/>
                <w:sz w:val="16"/>
                <w:szCs w:val="16"/>
              </w:rPr>
              <w:t>URL</w:t>
            </w:r>
          </w:p>
        </w:tc>
        <w:tc>
          <w:tcPr>
            <w:tcW w:w="4536" w:type="dxa"/>
          </w:tcPr>
          <w:p w14:paraId="4AFB45D1" w14:textId="77777777" w:rsidR="00325A83" w:rsidRDefault="00325A83" w:rsidP="007F01B8">
            <w:pPr>
              <w:rPr>
                <w:sz w:val="16"/>
                <w:szCs w:val="16"/>
              </w:rPr>
            </w:pPr>
            <w:r>
              <w:rPr>
                <w:sz w:val="16"/>
                <w:szCs w:val="16"/>
              </w:rPr>
              <w:t>Tillgång till avtalsdokumentet är viktig för framförallt avtalshandläggare vars främsta behov är att lära sig av andra regioner och likrikta avtalsskrivandet.</w:t>
            </w:r>
          </w:p>
          <w:p w14:paraId="13DF69AD" w14:textId="1F02E62A" w:rsidR="00325A83" w:rsidRDefault="00325A83" w:rsidP="007F01B8">
            <w:pPr>
              <w:rPr>
                <w:sz w:val="16"/>
                <w:szCs w:val="16"/>
              </w:rPr>
            </w:pPr>
            <w:r>
              <w:rPr>
                <w:sz w:val="16"/>
                <w:szCs w:val="16"/>
              </w:rPr>
              <w:t xml:space="preserve">Även vårdlotsar kan behöva ta del av avtalsdokument för att vara pålästa inför kontakt med vårdenheter (nuvarande och </w:t>
            </w:r>
            <w:proofErr w:type="spellStart"/>
            <w:r>
              <w:rPr>
                <w:sz w:val="16"/>
                <w:szCs w:val="16"/>
              </w:rPr>
              <w:t>nyidentifierad</w:t>
            </w:r>
            <w:proofErr w:type="spellEnd"/>
            <w:r>
              <w:rPr>
                <w:sz w:val="16"/>
                <w:szCs w:val="16"/>
              </w:rPr>
              <w:t>).</w:t>
            </w:r>
          </w:p>
        </w:tc>
      </w:tr>
      <w:tr w:rsidR="007F01B8" w14:paraId="400BD831" w14:textId="77777777" w:rsidTr="007F01B8">
        <w:tc>
          <w:tcPr>
            <w:tcW w:w="2518" w:type="dxa"/>
          </w:tcPr>
          <w:p w14:paraId="5A91DCA3" w14:textId="018EAD55" w:rsidR="007F01B8" w:rsidRDefault="007F01B8" w:rsidP="007F01B8">
            <w:pPr>
              <w:rPr>
                <w:sz w:val="16"/>
                <w:szCs w:val="16"/>
              </w:rPr>
            </w:pPr>
            <w:r w:rsidRPr="007F01B8">
              <w:rPr>
                <w:b/>
              </w:rPr>
              <w:t>Vårdgivarinformation</w:t>
            </w:r>
          </w:p>
        </w:tc>
        <w:tc>
          <w:tcPr>
            <w:tcW w:w="1701" w:type="dxa"/>
          </w:tcPr>
          <w:p w14:paraId="28CA4EEE" w14:textId="77777777" w:rsidR="007F01B8" w:rsidRPr="007F01B8" w:rsidRDefault="007F01B8" w:rsidP="007F01B8">
            <w:pPr>
              <w:rPr>
                <w:sz w:val="16"/>
                <w:szCs w:val="16"/>
              </w:rPr>
            </w:pPr>
          </w:p>
        </w:tc>
        <w:tc>
          <w:tcPr>
            <w:tcW w:w="4536" w:type="dxa"/>
          </w:tcPr>
          <w:p w14:paraId="7442C1A5" w14:textId="77777777" w:rsidR="007F01B8" w:rsidRDefault="007F01B8" w:rsidP="007F01B8">
            <w:pPr>
              <w:rPr>
                <w:sz w:val="16"/>
                <w:szCs w:val="16"/>
              </w:rPr>
            </w:pPr>
          </w:p>
        </w:tc>
      </w:tr>
      <w:tr w:rsidR="007F01B8" w14:paraId="5B2FEBE4" w14:textId="77777777" w:rsidTr="007F01B8">
        <w:tc>
          <w:tcPr>
            <w:tcW w:w="2518" w:type="dxa"/>
          </w:tcPr>
          <w:p w14:paraId="7CC6EE45" w14:textId="62B53D21" w:rsidR="007F01B8" w:rsidRDefault="007F01B8" w:rsidP="007F01B8">
            <w:pPr>
              <w:rPr>
                <w:sz w:val="16"/>
                <w:szCs w:val="16"/>
              </w:rPr>
            </w:pPr>
            <w:r w:rsidRPr="007F01B8">
              <w:rPr>
                <w:sz w:val="16"/>
                <w:szCs w:val="16"/>
              </w:rPr>
              <w:t>Namn</w:t>
            </w:r>
            <w:r w:rsidR="002313AF">
              <w:rPr>
                <w:sz w:val="16"/>
                <w:szCs w:val="16"/>
              </w:rPr>
              <w:t>, vårdenhet</w:t>
            </w:r>
          </w:p>
        </w:tc>
        <w:tc>
          <w:tcPr>
            <w:tcW w:w="1701" w:type="dxa"/>
          </w:tcPr>
          <w:p w14:paraId="76AFCE51" w14:textId="21CAD126" w:rsidR="007F01B8" w:rsidRPr="00325A83" w:rsidRDefault="00325A83" w:rsidP="007F01B8">
            <w:pPr>
              <w:rPr>
                <w:i/>
                <w:sz w:val="16"/>
                <w:szCs w:val="16"/>
              </w:rPr>
            </w:pPr>
            <w:r w:rsidRPr="00325A83">
              <w:rPr>
                <w:i/>
                <w:sz w:val="16"/>
                <w:szCs w:val="16"/>
              </w:rPr>
              <w:t xml:space="preserve">Capio </w:t>
            </w:r>
            <w:proofErr w:type="spellStart"/>
            <w:r w:rsidRPr="00325A83">
              <w:rPr>
                <w:i/>
                <w:sz w:val="16"/>
                <w:szCs w:val="16"/>
              </w:rPr>
              <w:t>Artro</w:t>
            </w:r>
            <w:proofErr w:type="spellEnd"/>
            <w:r w:rsidRPr="00325A83">
              <w:rPr>
                <w:i/>
                <w:sz w:val="16"/>
                <w:szCs w:val="16"/>
              </w:rPr>
              <w:t xml:space="preserve"> </w:t>
            </w:r>
            <w:proofErr w:type="spellStart"/>
            <w:r w:rsidRPr="00325A83">
              <w:rPr>
                <w:i/>
                <w:sz w:val="16"/>
                <w:szCs w:val="16"/>
              </w:rPr>
              <w:t>Clinic</w:t>
            </w:r>
            <w:proofErr w:type="spellEnd"/>
            <w:r w:rsidRPr="00325A83">
              <w:rPr>
                <w:i/>
                <w:sz w:val="16"/>
                <w:szCs w:val="16"/>
              </w:rPr>
              <w:t xml:space="preserve"> Sophiahemmet</w:t>
            </w:r>
          </w:p>
        </w:tc>
        <w:tc>
          <w:tcPr>
            <w:tcW w:w="4536" w:type="dxa"/>
          </w:tcPr>
          <w:p w14:paraId="518AF6EE" w14:textId="4F1C2F48" w:rsidR="007F01B8" w:rsidRDefault="007F01B8" w:rsidP="007F01B8">
            <w:pPr>
              <w:rPr>
                <w:sz w:val="16"/>
                <w:szCs w:val="16"/>
              </w:rPr>
            </w:pPr>
          </w:p>
        </w:tc>
      </w:tr>
      <w:tr w:rsidR="002313AF" w14:paraId="5D91C32C" w14:textId="77777777" w:rsidTr="007F01B8">
        <w:tc>
          <w:tcPr>
            <w:tcW w:w="2518" w:type="dxa"/>
          </w:tcPr>
          <w:p w14:paraId="5B2E9BAA" w14:textId="23EB2763" w:rsidR="002313AF" w:rsidRPr="007F01B8" w:rsidRDefault="002313AF" w:rsidP="007F01B8">
            <w:pPr>
              <w:rPr>
                <w:sz w:val="16"/>
                <w:szCs w:val="16"/>
              </w:rPr>
            </w:pPr>
            <w:r>
              <w:rPr>
                <w:sz w:val="16"/>
                <w:szCs w:val="16"/>
              </w:rPr>
              <w:t>Namn, vårdgivare</w:t>
            </w:r>
          </w:p>
        </w:tc>
        <w:tc>
          <w:tcPr>
            <w:tcW w:w="1701" w:type="dxa"/>
          </w:tcPr>
          <w:p w14:paraId="2616C152" w14:textId="060F6572" w:rsidR="002313AF" w:rsidRPr="00325A83" w:rsidRDefault="00325A83" w:rsidP="007F01B8">
            <w:pPr>
              <w:rPr>
                <w:i/>
                <w:sz w:val="16"/>
                <w:szCs w:val="16"/>
              </w:rPr>
            </w:pPr>
            <w:r w:rsidRPr="00325A83">
              <w:rPr>
                <w:i/>
                <w:sz w:val="16"/>
                <w:szCs w:val="16"/>
              </w:rPr>
              <w:t>Capio AB</w:t>
            </w:r>
          </w:p>
        </w:tc>
        <w:tc>
          <w:tcPr>
            <w:tcW w:w="4536" w:type="dxa"/>
          </w:tcPr>
          <w:p w14:paraId="5203243B" w14:textId="77777777" w:rsidR="002313AF" w:rsidRDefault="002313AF" w:rsidP="007F01B8">
            <w:pPr>
              <w:rPr>
                <w:sz w:val="16"/>
                <w:szCs w:val="16"/>
              </w:rPr>
            </w:pPr>
          </w:p>
        </w:tc>
      </w:tr>
      <w:tr w:rsidR="007F01B8" w14:paraId="1F09F6E2" w14:textId="77777777" w:rsidTr="007F01B8">
        <w:tc>
          <w:tcPr>
            <w:tcW w:w="2518" w:type="dxa"/>
          </w:tcPr>
          <w:p w14:paraId="4F04B9CB" w14:textId="5A3B8ACD" w:rsidR="007F01B8" w:rsidRDefault="007F01B8" w:rsidP="007F01B8">
            <w:pPr>
              <w:rPr>
                <w:sz w:val="16"/>
                <w:szCs w:val="16"/>
              </w:rPr>
            </w:pPr>
            <w:r w:rsidRPr="007F01B8">
              <w:rPr>
                <w:sz w:val="16"/>
                <w:szCs w:val="16"/>
              </w:rPr>
              <w:t>Adress</w:t>
            </w:r>
          </w:p>
        </w:tc>
        <w:tc>
          <w:tcPr>
            <w:tcW w:w="1701" w:type="dxa"/>
          </w:tcPr>
          <w:p w14:paraId="03587651" w14:textId="20BDC2FC" w:rsidR="007F01B8" w:rsidRPr="00325A83" w:rsidRDefault="00325A83" w:rsidP="007F01B8">
            <w:pPr>
              <w:rPr>
                <w:i/>
                <w:sz w:val="16"/>
                <w:szCs w:val="16"/>
              </w:rPr>
            </w:pPr>
            <w:r w:rsidRPr="00325A83">
              <w:rPr>
                <w:i/>
                <w:sz w:val="16"/>
                <w:szCs w:val="16"/>
              </w:rPr>
              <w:t>Första vägen 1, Laholm</w:t>
            </w:r>
          </w:p>
        </w:tc>
        <w:tc>
          <w:tcPr>
            <w:tcW w:w="4536" w:type="dxa"/>
          </w:tcPr>
          <w:p w14:paraId="73BFC588" w14:textId="77777777" w:rsidR="007F01B8" w:rsidRDefault="007F01B8" w:rsidP="007F01B8">
            <w:pPr>
              <w:rPr>
                <w:sz w:val="16"/>
                <w:szCs w:val="16"/>
              </w:rPr>
            </w:pPr>
          </w:p>
        </w:tc>
      </w:tr>
      <w:tr w:rsidR="007F01B8" w14:paraId="781CB8D1" w14:textId="77777777" w:rsidTr="007F01B8">
        <w:tc>
          <w:tcPr>
            <w:tcW w:w="2518" w:type="dxa"/>
          </w:tcPr>
          <w:p w14:paraId="33601817" w14:textId="3948C638" w:rsidR="007F01B8" w:rsidRDefault="007F01B8" w:rsidP="007F01B8">
            <w:pPr>
              <w:rPr>
                <w:sz w:val="16"/>
                <w:szCs w:val="16"/>
              </w:rPr>
            </w:pPr>
            <w:r w:rsidRPr="007F01B8">
              <w:rPr>
                <w:sz w:val="16"/>
                <w:szCs w:val="16"/>
              </w:rPr>
              <w:t>Kontaktuppgifter</w:t>
            </w:r>
          </w:p>
        </w:tc>
        <w:tc>
          <w:tcPr>
            <w:tcW w:w="1701" w:type="dxa"/>
          </w:tcPr>
          <w:p w14:paraId="0CA48A03" w14:textId="77777777" w:rsidR="00325A83" w:rsidRDefault="00325A83" w:rsidP="007F01B8">
            <w:pPr>
              <w:rPr>
                <w:i/>
                <w:sz w:val="16"/>
                <w:szCs w:val="16"/>
              </w:rPr>
            </w:pPr>
            <w:proofErr w:type="gramStart"/>
            <w:r w:rsidRPr="00325A83">
              <w:rPr>
                <w:i/>
                <w:sz w:val="16"/>
                <w:szCs w:val="16"/>
              </w:rPr>
              <w:t>0231-565656</w:t>
            </w:r>
            <w:proofErr w:type="gramEnd"/>
          </w:p>
          <w:p w14:paraId="08890519" w14:textId="17192796" w:rsidR="00325A83" w:rsidRPr="00325A83" w:rsidRDefault="00325A83" w:rsidP="007F01B8">
            <w:pPr>
              <w:rPr>
                <w:i/>
                <w:sz w:val="16"/>
                <w:szCs w:val="16"/>
              </w:rPr>
            </w:pPr>
            <w:r>
              <w:rPr>
                <w:i/>
                <w:sz w:val="16"/>
                <w:szCs w:val="16"/>
              </w:rPr>
              <w:t xml:space="preserve">Tolv </w:t>
            </w:r>
            <w:proofErr w:type="spellStart"/>
            <w:r>
              <w:rPr>
                <w:i/>
                <w:sz w:val="16"/>
                <w:szCs w:val="16"/>
              </w:rPr>
              <w:t>Tolvansson</w:t>
            </w:r>
            <w:proofErr w:type="spellEnd"/>
          </w:p>
        </w:tc>
        <w:tc>
          <w:tcPr>
            <w:tcW w:w="4536" w:type="dxa"/>
          </w:tcPr>
          <w:p w14:paraId="0B95424A" w14:textId="13426D19" w:rsidR="007F01B8" w:rsidRDefault="00325A83" w:rsidP="007F01B8">
            <w:pPr>
              <w:rPr>
                <w:sz w:val="16"/>
                <w:szCs w:val="16"/>
              </w:rPr>
            </w:pPr>
            <w:r>
              <w:rPr>
                <w:sz w:val="16"/>
                <w:szCs w:val="16"/>
              </w:rPr>
              <w:t>Direktkontaktuppgifter till vårdenheten för att diskutera möjligheten att hänvisa patient. Detta ska inte vara ett växelnummer som innebär onödig väntan och extra administration.</w:t>
            </w:r>
          </w:p>
        </w:tc>
      </w:tr>
      <w:tr w:rsidR="007F01B8" w14:paraId="501295D1" w14:textId="77777777" w:rsidTr="007F01B8">
        <w:tc>
          <w:tcPr>
            <w:tcW w:w="2518" w:type="dxa"/>
          </w:tcPr>
          <w:p w14:paraId="1F901E73" w14:textId="37E933D4" w:rsidR="007F01B8" w:rsidRDefault="007F01B8" w:rsidP="007F01B8">
            <w:pPr>
              <w:rPr>
                <w:sz w:val="16"/>
                <w:szCs w:val="16"/>
              </w:rPr>
            </w:pPr>
            <w:r>
              <w:rPr>
                <w:sz w:val="16"/>
                <w:szCs w:val="16"/>
              </w:rPr>
              <w:t>Specialiteter</w:t>
            </w:r>
          </w:p>
        </w:tc>
        <w:tc>
          <w:tcPr>
            <w:tcW w:w="1701" w:type="dxa"/>
          </w:tcPr>
          <w:p w14:paraId="76ECDACB" w14:textId="13C46830" w:rsidR="007F01B8" w:rsidRPr="002313AF" w:rsidRDefault="002313AF" w:rsidP="007F01B8">
            <w:pPr>
              <w:rPr>
                <w:i/>
                <w:sz w:val="16"/>
                <w:szCs w:val="16"/>
              </w:rPr>
            </w:pPr>
            <w:r w:rsidRPr="002313AF">
              <w:rPr>
                <w:i/>
                <w:sz w:val="16"/>
                <w:szCs w:val="16"/>
              </w:rPr>
              <w:t>Urologi</w:t>
            </w:r>
          </w:p>
        </w:tc>
        <w:tc>
          <w:tcPr>
            <w:tcW w:w="4536" w:type="dxa"/>
          </w:tcPr>
          <w:p w14:paraId="7792A6B6" w14:textId="21B87E83" w:rsidR="007F01B8" w:rsidRDefault="002313AF" w:rsidP="007F01B8">
            <w:pPr>
              <w:rPr>
                <w:sz w:val="16"/>
                <w:szCs w:val="16"/>
              </w:rPr>
            </w:pPr>
            <w:r>
              <w:rPr>
                <w:sz w:val="16"/>
                <w:szCs w:val="16"/>
              </w:rPr>
              <w:t>Vilka specialiteter/verksamhetsinriktningar har vårdgivaren</w:t>
            </w:r>
          </w:p>
        </w:tc>
      </w:tr>
      <w:tr w:rsidR="002313AF" w14:paraId="784263D3" w14:textId="77777777" w:rsidTr="007F01B8">
        <w:tc>
          <w:tcPr>
            <w:tcW w:w="2518" w:type="dxa"/>
          </w:tcPr>
          <w:p w14:paraId="62BE26F6" w14:textId="415D7546" w:rsidR="002313AF" w:rsidRDefault="002313AF" w:rsidP="007F01B8">
            <w:pPr>
              <w:rPr>
                <w:sz w:val="16"/>
                <w:szCs w:val="16"/>
              </w:rPr>
            </w:pPr>
            <w:r>
              <w:rPr>
                <w:sz w:val="16"/>
                <w:szCs w:val="16"/>
              </w:rPr>
              <w:t>Regi</w:t>
            </w:r>
          </w:p>
        </w:tc>
        <w:tc>
          <w:tcPr>
            <w:tcW w:w="1701" w:type="dxa"/>
          </w:tcPr>
          <w:p w14:paraId="33E99CF6" w14:textId="57B3F952" w:rsidR="002313AF" w:rsidRPr="002313AF" w:rsidRDefault="002313AF" w:rsidP="007F01B8">
            <w:pPr>
              <w:rPr>
                <w:i/>
                <w:sz w:val="16"/>
                <w:szCs w:val="16"/>
              </w:rPr>
            </w:pPr>
            <w:r w:rsidRPr="002313AF">
              <w:rPr>
                <w:i/>
                <w:sz w:val="16"/>
                <w:szCs w:val="16"/>
              </w:rPr>
              <w:t>Privat</w:t>
            </w:r>
          </w:p>
        </w:tc>
        <w:tc>
          <w:tcPr>
            <w:tcW w:w="4536" w:type="dxa"/>
          </w:tcPr>
          <w:p w14:paraId="24374AEE" w14:textId="48789425" w:rsidR="002313AF" w:rsidRDefault="002313AF" w:rsidP="007F01B8">
            <w:pPr>
              <w:rPr>
                <w:sz w:val="16"/>
                <w:szCs w:val="16"/>
              </w:rPr>
            </w:pPr>
            <w:r>
              <w:rPr>
                <w:sz w:val="16"/>
                <w:szCs w:val="16"/>
              </w:rPr>
              <w:t>Bedrivs vården i regional eller privat regi</w:t>
            </w:r>
          </w:p>
        </w:tc>
      </w:tr>
      <w:tr w:rsidR="007F01B8" w14:paraId="57CB977C" w14:textId="77777777" w:rsidTr="007F01B8">
        <w:tc>
          <w:tcPr>
            <w:tcW w:w="2518" w:type="dxa"/>
          </w:tcPr>
          <w:p w14:paraId="644F46F7" w14:textId="08760B8F" w:rsidR="007F01B8" w:rsidRDefault="007F01B8" w:rsidP="007F01B8">
            <w:pPr>
              <w:rPr>
                <w:sz w:val="16"/>
                <w:szCs w:val="16"/>
              </w:rPr>
            </w:pPr>
            <w:r>
              <w:rPr>
                <w:sz w:val="16"/>
                <w:szCs w:val="16"/>
              </w:rPr>
              <w:t>Väntetider</w:t>
            </w:r>
          </w:p>
        </w:tc>
        <w:tc>
          <w:tcPr>
            <w:tcW w:w="1701" w:type="dxa"/>
          </w:tcPr>
          <w:p w14:paraId="50626232" w14:textId="53F70329" w:rsidR="007F01B8" w:rsidRPr="002313AF" w:rsidRDefault="002313AF" w:rsidP="007F01B8">
            <w:pPr>
              <w:rPr>
                <w:i/>
                <w:sz w:val="16"/>
                <w:szCs w:val="16"/>
              </w:rPr>
            </w:pPr>
            <w:proofErr w:type="gramStart"/>
            <w:r w:rsidRPr="002313AF">
              <w:rPr>
                <w:i/>
                <w:sz w:val="16"/>
                <w:szCs w:val="16"/>
              </w:rPr>
              <w:t>9-13</w:t>
            </w:r>
            <w:proofErr w:type="gramEnd"/>
            <w:r w:rsidRPr="002313AF">
              <w:rPr>
                <w:i/>
                <w:sz w:val="16"/>
                <w:szCs w:val="16"/>
              </w:rPr>
              <w:t xml:space="preserve"> veckor</w:t>
            </w:r>
          </w:p>
        </w:tc>
        <w:tc>
          <w:tcPr>
            <w:tcW w:w="4536" w:type="dxa"/>
          </w:tcPr>
          <w:p w14:paraId="695E0AA7" w14:textId="1E52A549" w:rsidR="007F01B8" w:rsidRDefault="002313AF" w:rsidP="007F01B8">
            <w:pPr>
              <w:rPr>
                <w:sz w:val="16"/>
                <w:szCs w:val="16"/>
              </w:rPr>
            </w:pPr>
            <w:r>
              <w:rPr>
                <w:sz w:val="16"/>
                <w:szCs w:val="16"/>
              </w:rPr>
              <w:t>Information om uppskattade väntetider. Hypotes: bör rapporteras på åtgärdsnivå (KVÅ)</w:t>
            </w:r>
          </w:p>
        </w:tc>
      </w:tr>
      <w:tr w:rsidR="007F01B8" w14:paraId="070D229E" w14:textId="77777777" w:rsidTr="007F01B8">
        <w:tc>
          <w:tcPr>
            <w:tcW w:w="2518" w:type="dxa"/>
          </w:tcPr>
          <w:p w14:paraId="3027B827" w14:textId="33A621A0" w:rsidR="007F01B8" w:rsidRDefault="007F01B8" w:rsidP="007F01B8">
            <w:pPr>
              <w:rPr>
                <w:sz w:val="16"/>
                <w:szCs w:val="16"/>
              </w:rPr>
            </w:pPr>
            <w:r>
              <w:rPr>
                <w:sz w:val="16"/>
                <w:szCs w:val="16"/>
              </w:rPr>
              <w:lastRenderedPageBreak/>
              <w:t>Möjlighet att ta emot inom vårdgarantin</w:t>
            </w:r>
          </w:p>
        </w:tc>
        <w:tc>
          <w:tcPr>
            <w:tcW w:w="1701" w:type="dxa"/>
          </w:tcPr>
          <w:p w14:paraId="7ED06D28" w14:textId="5477EAD1" w:rsidR="007F01B8" w:rsidRPr="002313AF" w:rsidRDefault="002313AF" w:rsidP="007F01B8">
            <w:pPr>
              <w:rPr>
                <w:i/>
                <w:sz w:val="16"/>
                <w:szCs w:val="16"/>
              </w:rPr>
            </w:pPr>
            <w:r w:rsidRPr="002313AF">
              <w:rPr>
                <w:i/>
                <w:sz w:val="16"/>
                <w:szCs w:val="16"/>
              </w:rPr>
              <w:t>Ja/nej</w:t>
            </w:r>
          </w:p>
        </w:tc>
        <w:tc>
          <w:tcPr>
            <w:tcW w:w="4536" w:type="dxa"/>
          </w:tcPr>
          <w:p w14:paraId="1CF89231" w14:textId="0F52CEBE" w:rsidR="007F01B8" w:rsidRDefault="002313AF" w:rsidP="007F01B8">
            <w:pPr>
              <w:rPr>
                <w:sz w:val="16"/>
                <w:szCs w:val="16"/>
              </w:rPr>
            </w:pPr>
            <w:r>
              <w:rPr>
                <w:sz w:val="16"/>
                <w:szCs w:val="16"/>
              </w:rPr>
              <w:t xml:space="preserve">Information om vård kan tas emot och utföras inom vårdgarantins gränser. </w:t>
            </w:r>
            <w:r>
              <w:rPr>
                <w:sz w:val="16"/>
                <w:szCs w:val="16"/>
              </w:rPr>
              <w:t>Hypotes: bör rapporteras på åtgärdsnivå (KVÅ)</w:t>
            </w:r>
          </w:p>
        </w:tc>
      </w:tr>
    </w:tbl>
    <w:p w14:paraId="1DA6B472" w14:textId="77777777" w:rsidR="007F01B8" w:rsidRPr="00132768" w:rsidRDefault="007F01B8" w:rsidP="00132768"/>
    <w:p w14:paraId="0056CF8F" w14:textId="003A5AA1" w:rsidR="00325A83" w:rsidRDefault="00325A83" w:rsidP="00F33357">
      <w:pPr>
        <w:pStyle w:val="Numreradrubrik2"/>
      </w:pPr>
      <w:r>
        <w:t>Informationsbehov hos sekundäranvändare</w:t>
      </w:r>
    </w:p>
    <w:p w14:paraId="59B3733B" w14:textId="2B2B3A7D" w:rsidR="00325A83" w:rsidRDefault="00325A83" w:rsidP="00325A83">
      <w:r w:rsidRPr="00325A83">
        <w:rPr>
          <w:highlight w:val="yellow"/>
        </w:rPr>
        <w:t>Detta är inte utrett.</w:t>
      </w:r>
      <w:r>
        <w:t xml:space="preserve"> Myndigheter, såsom Socialstyrelsen och Vårdanalys brukar ha intresse av statistikutdrag för att göra nationella analyser. Detta kan och bör tillgodoses med hjälp av öppna data, </w:t>
      </w:r>
      <w:proofErr w:type="spellStart"/>
      <w:r>
        <w:t>API:er</w:t>
      </w:r>
      <w:proofErr w:type="spellEnd"/>
      <w:r>
        <w:t xml:space="preserve"> eller genom statistiktjänster.</w:t>
      </w:r>
    </w:p>
    <w:p w14:paraId="346F914C" w14:textId="56A28FFC" w:rsidR="00325A83" w:rsidRDefault="00634610" w:rsidP="00325A83">
      <w:pPr>
        <w:pStyle w:val="Numreradrubrik2"/>
      </w:pPr>
      <w:r>
        <w:t>Arbetsprincip</w:t>
      </w:r>
      <w:r w:rsidR="00325A83">
        <w:t xml:space="preserve"> för fortsatt arbete</w:t>
      </w:r>
    </w:p>
    <w:p w14:paraId="7716B188" w14:textId="61A36610" w:rsidR="00634610" w:rsidRPr="00634610" w:rsidRDefault="00634610" w:rsidP="00634610">
      <w:pPr>
        <w:pStyle w:val="Liststycke"/>
        <w:numPr>
          <w:ilvl w:val="0"/>
          <w:numId w:val="15"/>
        </w:numPr>
      </w:pPr>
      <w:r>
        <w:t xml:space="preserve">Ett </w:t>
      </w:r>
      <w:r w:rsidRPr="00634610">
        <w:t>Vårdsök</w:t>
      </w:r>
      <w:r>
        <w:t>system</w:t>
      </w:r>
      <w:r w:rsidRPr="00634610">
        <w:t xml:space="preserve"> ska </w:t>
      </w:r>
      <w:r>
        <w:t>vara</w:t>
      </w:r>
      <w:r w:rsidRPr="00634610">
        <w:t xml:space="preserve"> enkelt och smidigt att söka i. Man ska inte få känslan av att man behöver fylla i/välja massa olika filter för att komma vidare. </w:t>
      </w:r>
      <w:r>
        <w:t>Det bör erbjuda en enkel första sökning och sedan möjlighet att filtrera och snäva in resultaten.</w:t>
      </w:r>
      <w:r w:rsidRPr="00634610">
        <w:t xml:space="preserve"> </w:t>
      </w:r>
    </w:p>
    <w:p w14:paraId="43409298" w14:textId="3D546B80" w:rsidR="00634610" w:rsidRPr="00634610" w:rsidRDefault="00634610" w:rsidP="00634610">
      <w:pPr>
        <w:pStyle w:val="Liststycke"/>
        <w:numPr>
          <w:ilvl w:val="0"/>
          <w:numId w:val="15"/>
        </w:numPr>
      </w:pPr>
      <w:r w:rsidRPr="00634610">
        <w:t>För att underlätta vårdlotsens dagliga arb</w:t>
      </w:r>
      <w:bookmarkStart w:id="0" w:name="_GoBack"/>
      <w:bookmarkEnd w:id="0"/>
      <w:r w:rsidRPr="00634610">
        <w:t xml:space="preserve">ete </w:t>
      </w:r>
      <w:r>
        <w:t>bör information om</w:t>
      </w:r>
      <w:r w:rsidRPr="00634610">
        <w:t xml:space="preserve"> avtal, kontaktuppgifter, vårdenheter, uppskattad kapacitet/väntetid, möjlighet att spara favoriter (vårdenheter) </w:t>
      </w:r>
      <w:r>
        <w:t>sökningar synas vid en första överblick.</w:t>
      </w:r>
    </w:p>
    <w:p w14:paraId="5C2BA468" w14:textId="6547A5D4" w:rsidR="00325A83" w:rsidRPr="00325A83" w:rsidRDefault="00325A83" w:rsidP="00634610">
      <w:pPr>
        <w:pStyle w:val="Liststycke"/>
        <w:numPr>
          <w:ilvl w:val="0"/>
          <w:numId w:val="15"/>
        </w:numPr>
      </w:pPr>
      <w:r w:rsidRPr="00325A83">
        <w:t xml:space="preserve">Socialstyrelsen har inte identifierat möjliga mått på ledig kapacitet i realtid och vårdlotsarna efterfrågar det inte. </w:t>
      </w:r>
      <w:r w:rsidR="00634610" w:rsidRPr="00634610">
        <w:rPr>
          <w:b/>
        </w:rPr>
        <w:t xml:space="preserve">De </w:t>
      </w:r>
      <w:r w:rsidRPr="00634610">
        <w:rPr>
          <w:b/>
        </w:rPr>
        <w:t xml:space="preserve">kapacitetsmått som </w:t>
      </w:r>
      <w:r w:rsidR="00634610" w:rsidRPr="00634610">
        <w:rPr>
          <w:b/>
        </w:rPr>
        <w:t>beaktas bör vara</w:t>
      </w:r>
      <w:r w:rsidRPr="00634610">
        <w:rPr>
          <w:b/>
        </w:rPr>
        <w:t xml:space="preserve"> till stöd för våra primära användare.</w:t>
      </w:r>
      <w:r w:rsidR="00634610">
        <w:rPr>
          <w:b/>
        </w:rPr>
        <w:t xml:space="preserve"> </w:t>
      </w:r>
      <w:r w:rsidR="00634610" w:rsidRPr="00634610">
        <w:t>Dessa antas vara uppskattad väntetid och ”möjlighet att ta emot inom vårdgarantins gränser”.</w:t>
      </w:r>
    </w:p>
    <w:p w14:paraId="114F0F76" w14:textId="0CC1CF42" w:rsidR="00325A83" w:rsidRPr="00325A83" w:rsidRDefault="00325A83" w:rsidP="00634610">
      <w:pPr>
        <w:pStyle w:val="Liststycke"/>
        <w:numPr>
          <w:ilvl w:val="0"/>
          <w:numId w:val="15"/>
        </w:numPr>
      </w:pPr>
      <w:r w:rsidRPr="00325A83">
        <w:t xml:space="preserve">Avtalsinformation bör inte vara tvingande, men vägledande. Idag ser avtal olika ut och alla informationsmängder </w:t>
      </w:r>
      <w:r w:rsidR="00634610">
        <w:t>som önskas</w:t>
      </w:r>
      <w:r w:rsidRPr="00325A83">
        <w:t xml:space="preserve"> finns </w:t>
      </w:r>
      <w:r w:rsidR="00634610">
        <w:t xml:space="preserve">troligtvis </w:t>
      </w:r>
      <w:r w:rsidRPr="00325A83">
        <w:t xml:space="preserve">inte i alla avtal. </w:t>
      </w:r>
    </w:p>
    <w:p w14:paraId="2110E801" w14:textId="77777777" w:rsidR="00325A83" w:rsidRPr="00325A83" w:rsidRDefault="00325A83" w:rsidP="00634610">
      <w:pPr>
        <w:pStyle w:val="Liststycke"/>
        <w:numPr>
          <w:ilvl w:val="0"/>
          <w:numId w:val="15"/>
        </w:numPr>
      </w:pPr>
      <w:r w:rsidRPr="00325A83">
        <w:t xml:space="preserve">Idag finns kapacitet enbart hos privata vårdgivare. </w:t>
      </w:r>
      <w:r w:rsidRPr="00634610">
        <w:rPr>
          <w:b/>
        </w:rPr>
        <w:t xml:space="preserve">Inkludera privata avtal i första steget </w:t>
      </w:r>
      <w:r w:rsidRPr="00325A83">
        <w:t>för att sedan modellera regionägd vård när en nationell samordning kring vårdgivarinformatik finns på plats. Regionägd vård är ofta inte beskriven eller kravställd lika detaljerat som avtalad privatägd vård. Information måste då hängas upp på andra objekt än avtal.</w:t>
      </w:r>
    </w:p>
    <w:p w14:paraId="569C22BE" w14:textId="03EB2E41" w:rsidR="00634610" w:rsidRDefault="00325A83" w:rsidP="00634610">
      <w:pPr>
        <w:pStyle w:val="Liststycke"/>
        <w:numPr>
          <w:ilvl w:val="0"/>
          <w:numId w:val="15"/>
        </w:numPr>
      </w:pPr>
      <w:r w:rsidRPr="00634610">
        <w:rPr>
          <w:b/>
        </w:rPr>
        <w:t>Erbjud regioner att manuellt eller tekniskt att överföra avtalsinformation.</w:t>
      </w:r>
      <w:r w:rsidRPr="00325A83">
        <w:t xml:space="preserve"> Har en region kommit långt i sin avkodning ska detta inte gå till spillo!</w:t>
      </w:r>
    </w:p>
    <w:p w14:paraId="03653398" w14:textId="0CDB599E" w:rsidR="00F33357" w:rsidRDefault="00634610" w:rsidP="00F33357">
      <w:pPr>
        <w:pStyle w:val="Numreradrubrik2"/>
      </w:pPr>
      <w:r>
        <w:lastRenderedPageBreak/>
        <w:t>Teknisk vy</w:t>
      </w:r>
    </w:p>
    <w:p w14:paraId="5609C336" w14:textId="68C2752A" w:rsidR="00634610" w:rsidRPr="00634610" w:rsidRDefault="00634610" w:rsidP="00634610">
      <w:r w:rsidRPr="00634610">
        <w:drawing>
          <wp:inline distT="0" distB="0" distL="0" distR="0" wp14:anchorId="0715CE30" wp14:editId="20970E86">
            <wp:extent cx="4770755" cy="3058795"/>
            <wp:effectExtent l="0" t="0" r="0" b="8255"/>
            <wp:docPr id="5" name="Bildobjekt 4">
              <a:extLst xmlns:a="http://schemas.openxmlformats.org/drawingml/2006/main">
                <a:ext uri="{FF2B5EF4-FFF2-40B4-BE49-F238E27FC236}">
                  <a16:creationId xmlns:a16="http://schemas.microsoft.com/office/drawing/2014/main" id="{66A96B4C-9ED9-4D7F-A793-42189B66756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4">
                      <a:extLst>
                        <a:ext uri="{FF2B5EF4-FFF2-40B4-BE49-F238E27FC236}">
                          <a16:creationId xmlns:a16="http://schemas.microsoft.com/office/drawing/2014/main" id="{66A96B4C-9ED9-4D7F-A793-42189B66756C}"/>
                        </a:ext>
                      </a:extLst>
                    </pic:cNvPr>
                    <pic:cNvPicPr>
                      <a:picLocks noChangeAspect="1"/>
                    </pic:cNvPicPr>
                  </pic:nvPicPr>
                  <pic:blipFill>
                    <a:blip r:embed="rId12"/>
                    <a:stretch>
                      <a:fillRect/>
                    </a:stretch>
                  </pic:blipFill>
                  <pic:spPr>
                    <a:xfrm>
                      <a:off x="0" y="0"/>
                      <a:ext cx="4770755" cy="3058795"/>
                    </a:xfrm>
                    <a:prstGeom prst="rect">
                      <a:avLst/>
                    </a:prstGeom>
                  </pic:spPr>
                </pic:pic>
              </a:graphicData>
            </a:graphic>
          </wp:inline>
        </w:drawing>
      </w:r>
    </w:p>
    <w:p w14:paraId="4C0DC0E0" w14:textId="19F9526A" w:rsidR="00634610" w:rsidRPr="00634610" w:rsidRDefault="00634610" w:rsidP="00634610">
      <w:pPr>
        <w:pStyle w:val="Numreradrubrik2"/>
      </w:pPr>
      <w:r>
        <w:t>Avgränsningar</w:t>
      </w:r>
    </w:p>
    <w:p w14:paraId="0BB35B9C" w14:textId="5A2A954C" w:rsidR="00F33357" w:rsidRDefault="00F33357" w:rsidP="00F33357">
      <w:pPr>
        <w:rPr>
          <w:b/>
        </w:rPr>
      </w:pPr>
      <w:r w:rsidRPr="00F33357">
        <w:rPr>
          <w:b/>
        </w:rPr>
        <w:t>Patientingång</w:t>
      </w:r>
    </w:p>
    <w:p w14:paraId="2EAE777A" w14:textId="5A86FCA0" w:rsidR="00F33357" w:rsidRDefault="00F33357" w:rsidP="00F33357">
      <w:r>
        <w:t xml:space="preserve">Detta nämns och efterfrågas inte i uppdraget och det har även framkommit i intervjuer att regionerna är både motvilliga och osäkra på hur en sådan patientingång skulle se för att hjälpa hänvisningsarbetet framåt. För att en patientingång ska vara möjlig måste informationen vara avskalad, övertydlig och förståelig. </w:t>
      </w:r>
    </w:p>
    <w:p w14:paraId="2260C632" w14:textId="6BA3A006" w:rsidR="00F33357" w:rsidRPr="00F33357" w:rsidRDefault="00F33357" w:rsidP="00F33357">
      <w:r>
        <w:t xml:space="preserve">De regioner som ställer sig positiva till en patientingång gör det framförallt ur arbetsfördelningssyfte. Det vill säga att man önskar överföra en del av informationssökandet på patienten. </w:t>
      </w:r>
    </w:p>
    <w:p w14:paraId="3D2B9CF3" w14:textId="67F72D51" w:rsidR="00F33357" w:rsidRPr="00F33357" w:rsidRDefault="00F33357" w:rsidP="00F33357">
      <w:pPr>
        <w:rPr>
          <w:b/>
        </w:rPr>
      </w:pPr>
      <w:r w:rsidRPr="00F33357">
        <w:rPr>
          <w:b/>
        </w:rPr>
        <w:t>Chatta och kommentera avtal</w:t>
      </w:r>
    </w:p>
    <w:p w14:paraId="10927729" w14:textId="004C865C" w:rsidR="00F33357" w:rsidRDefault="00F33357" w:rsidP="00132768">
      <w:r>
        <w:t>Problematiskt då patientinformation kan komma att föras in i eventuella</w:t>
      </w:r>
      <w:r w:rsidR="00132768">
        <w:t xml:space="preserve"> </w:t>
      </w:r>
      <w:r>
        <w:t xml:space="preserve">fritextfält i systemet. </w:t>
      </w:r>
    </w:p>
    <w:p w14:paraId="57DB4DA0" w14:textId="671AFEDD" w:rsidR="00F33357" w:rsidRPr="00F33357" w:rsidRDefault="00F33357" w:rsidP="00F33357">
      <w:pPr>
        <w:ind w:left="284" w:hanging="284"/>
        <w:rPr>
          <w:b/>
        </w:rPr>
      </w:pPr>
      <w:r w:rsidRPr="00F33357">
        <w:rPr>
          <w:b/>
        </w:rPr>
        <w:t>Remisshantering</w:t>
      </w:r>
    </w:p>
    <w:sectPr w:rsidR="00F33357" w:rsidRPr="00F33357" w:rsidSect="00F759F8">
      <w:headerReference w:type="default" r:id="rId13"/>
      <w:footerReference w:type="default" r:id="rId14"/>
      <w:footerReference w:type="first" r:id="rId15"/>
      <w:pgSz w:w="11907" w:h="16840" w:code="9"/>
      <w:pgMar w:top="1985" w:right="2693" w:bottom="851" w:left="1701" w:header="709"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D9D619" w14:textId="77777777" w:rsidR="00491D1A" w:rsidRDefault="00491D1A" w:rsidP="003B77AB">
      <w:pPr>
        <w:spacing w:after="0"/>
      </w:pPr>
      <w:r>
        <w:separator/>
      </w:r>
    </w:p>
  </w:endnote>
  <w:endnote w:type="continuationSeparator" w:id="0">
    <w:p w14:paraId="4BC03990" w14:textId="77777777" w:rsidR="00491D1A" w:rsidRDefault="00491D1A" w:rsidP="003B77A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Perpetua">
    <w:panose1 w:val="02020502060401020303"/>
    <w:charset w:val="00"/>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CF9F79" w14:textId="77777777" w:rsidR="00356B76" w:rsidRPr="0078643F" w:rsidRDefault="00356B76" w:rsidP="0078643F">
    <w:pPr>
      <w:tabs>
        <w:tab w:val="right" w:pos="9029"/>
      </w:tabs>
      <w:spacing w:after="0"/>
      <w:rPr>
        <w:b/>
        <w:sz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5F007F" w14:textId="77777777" w:rsidR="00356B76" w:rsidRDefault="00356B76" w:rsidP="00DD396A">
    <w:pPr>
      <w:pStyle w:val="Sidfot"/>
      <w:tabs>
        <w:tab w:val="clear" w:pos="4703"/>
        <w:tab w:val="clear" w:pos="9406"/>
        <w:tab w:val="right" w:pos="9498"/>
      </w:tabs>
      <w:ind w:left="-851"/>
    </w:pPr>
    <w:r>
      <w:tab/>
    </w:r>
  </w:p>
  <w:p w14:paraId="1BA2C8BA" w14:textId="77777777" w:rsidR="00356B76" w:rsidRPr="00DD396A" w:rsidRDefault="00356B76" w:rsidP="008127E5">
    <w:pPr>
      <w:pStyle w:val="Sidfot"/>
      <w:tabs>
        <w:tab w:val="clear" w:pos="4703"/>
        <w:tab w:val="clear" w:pos="9406"/>
        <w:tab w:val="right" w:pos="9029"/>
      </w:tabs>
      <w:jc w:val="right"/>
    </w:pPr>
    <w:r>
      <w:tab/>
    </w:r>
    <w:r w:rsidRPr="00DD396A">
      <w:rPr>
        <w:sz w:val="18"/>
      </w:rPr>
      <w:fldChar w:fldCharType="begin"/>
    </w:r>
    <w:r w:rsidRPr="00DD396A">
      <w:rPr>
        <w:sz w:val="18"/>
      </w:rPr>
      <w:instrText xml:space="preserve"> PAGE  \* Arabic  \* MERGEFORMAT </w:instrText>
    </w:r>
    <w:r w:rsidRPr="00DD396A">
      <w:rPr>
        <w:sz w:val="18"/>
      </w:rPr>
      <w:fldChar w:fldCharType="separate"/>
    </w:r>
    <w:r>
      <w:rPr>
        <w:noProof/>
        <w:sz w:val="18"/>
      </w:rPr>
      <w:t>1</w:t>
    </w:r>
    <w:r w:rsidRPr="00DD396A">
      <w:rPr>
        <w:sz w:val="18"/>
      </w:rPr>
      <w:fldChar w:fldCharType="end"/>
    </w:r>
    <w:r w:rsidRPr="00DD396A">
      <w:rPr>
        <w:sz w:val="18"/>
      </w:rPr>
      <w:t>/</w:t>
    </w:r>
    <w:r w:rsidRPr="00DD396A">
      <w:rPr>
        <w:sz w:val="18"/>
      </w:rPr>
      <w:fldChar w:fldCharType="begin"/>
    </w:r>
    <w:r w:rsidRPr="00DD396A">
      <w:rPr>
        <w:sz w:val="18"/>
      </w:rPr>
      <w:instrText xml:space="preserve"> NUMPAGES  \* Arabic  \* MERGEFORMAT </w:instrText>
    </w:r>
    <w:r w:rsidRPr="00DD396A">
      <w:rPr>
        <w:sz w:val="18"/>
      </w:rPr>
      <w:fldChar w:fldCharType="separate"/>
    </w:r>
    <w:r>
      <w:rPr>
        <w:noProof/>
        <w:sz w:val="18"/>
      </w:rPr>
      <w:t>5</w:t>
    </w:r>
    <w:r w:rsidRPr="00DD396A">
      <w:rPr>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464774" w14:textId="77777777" w:rsidR="00491D1A" w:rsidRDefault="00491D1A" w:rsidP="003B77AB">
      <w:pPr>
        <w:spacing w:after="0"/>
      </w:pPr>
      <w:r>
        <w:separator/>
      </w:r>
    </w:p>
  </w:footnote>
  <w:footnote w:type="continuationSeparator" w:id="0">
    <w:p w14:paraId="2182DD1E" w14:textId="77777777" w:rsidR="00491D1A" w:rsidRDefault="00491D1A" w:rsidP="003B77AB">
      <w:pPr>
        <w:spacing w:after="0"/>
      </w:pPr>
      <w:r>
        <w:continuationSeparator/>
      </w:r>
    </w:p>
  </w:footnote>
  <w:footnote w:id="1">
    <w:p w14:paraId="39593A07" w14:textId="031F41DF" w:rsidR="00325A83" w:rsidRDefault="00325A83">
      <w:pPr>
        <w:pStyle w:val="Fotnotstext"/>
      </w:pPr>
      <w:r>
        <w:rPr>
          <w:rStyle w:val="Fotnotsreferens"/>
        </w:rPr>
        <w:footnoteRef/>
      </w:r>
      <w:r>
        <w:t xml:space="preserve"> </w:t>
      </w:r>
      <w:hyperlink r:id="rId1" w:history="1">
        <w:r w:rsidRPr="00325A83">
          <w:rPr>
            <w:color w:val="0000FF"/>
            <w:sz w:val="22"/>
            <w:szCs w:val="22"/>
            <w:u w:val="single"/>
          </w:rPr>
          <w:t>Microsoft Word - ASA-klassifikation på svenska 151101.docx (sfai.se)</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238BA2" w14:textId="77777777" w:rsidR="00356B76" w:rsidRDefault="00356B76" w:rsidP="008A11C1">
    <w:pPr>
      <w:pStyle w:val="Sidhuvud"/>
      <w:spacing w:after="1440"/>
    </w:pPr>
    <w:r>
      <w:rPr>
        <w:noProof/>
        <w:lang w:eastAsia="sv-SE"/>
      </w:rPr>
      <w:drawing>
        <wp:anchor distT="0" distB="0" distL="114300" distR="114300" simplePos="0" relativeHeight="251677696" behindDoc="0" locked="0" layoutInCell="1" allowOverlap="1" wp14:anchorId="75D58EB3" wp14:editId="7018D2A1">
          <wp:simplePos x="0" y="0"/>
          <wp:positionH relativeFrom="page">
            <wp:posOffset>5745192</wp:posOffset>
          </wp:positionH>
          <wp:positionV relativeFrom="page">
            <wp:posOffset>545432</wp:posOffset>
          </wp:positionV>
          <wp:extent cx="1180588" cy="602099"/>
          <wp:effectExtent l="0" t="0" r="635" b="7620"/>
          <wp:wrapNone/>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hm_PMS.png"/>
                  <pic:cNvPicPr/>
                </pic:nvPicPr>
                <pic:blipFill>
                  <a:blip r:embed="rId1">
                    <a:extLst>
                      <a:ext uri="{28A0092B-C50C-407E-A947-70E740481C1C}">
                        <a14:useLocalDpi xmlns:a14="http://schemas.microsoft.com/office/drawing/2010/main" val="0"/>
                      </a:ext>
                    </a:extLst>
                  </a:blip>
                  <a:stretch>
                    <a:fillRect/>
                  </a:stretch>
                </pic:blipFill>
                <pic:spPr>
                  <a:xfrm>
                    <a:off x="0" y="0"/>
                    <a:ext cx="1180588" cy="602099"/>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8"/>
    <w:multiLevelType w:val="singleLevel"/>
    <w:tmpl w:val="37DAFA96"/>
    <w:lvl w:ilvl="0">
      <w:start w:val="1"/>
      <w:numFmt w:val="decimal"/>
      <w:pStyle w:val="Numreradlista"/>
      <w:lvlText w:val="%1."/>
      <w:lvlJc w:val="left"/>
      <w:pPr>
        <w:tabs>
          <w:tab w:val="num" w:pos="360"/>
        </w:tabs>
        <w:ind w:left="360" w:hanging="360"/>
      </w:pPr>
    </w:lvl>
  </w:abstractNum>
  <w:abstractNum w:abstractNumId="1" w15:restartNumberingAfterBreak="0">
    <w:nsid w:val="086961DC"/>
    <w:multiLevelType w:val="hybridMultilevel"/>
    <w:tmpl w:val="F5BE45BE"/>
    <w:lvl w:ilvl="0" w:tplc="B4CC7FC6">
      <w:numFmt w:val="bullet"/>
      <w:lvlText w:val="-"/>
      <w:lvlJc w:val="left"/>
      <w:pPr>
        <w:ind w:left="720" w:hanging="360"/>
      </w:pPr>
      <w:rPr>
        <w:rFonts w:ascii="Arial" w:eastAsiaTheme="minorHAnsi" w:hAnsi="Arial" w:cs="Aria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099D7E45"/>
    <w:multiLevelType w:val="multilevel"/>
    <w:tmpl w:val="E2709A6C"/>
    <w:lvl w:ilvl="0">
      <w:start w:val="1"/>
      <w:numFmt w:val="decimal"/>
      <w:lvlText w:val="%1."/>
      <w:lvlJc w:val="left"/>
      <w:pPr>
        <w:ind w:left="431" w:hanging="431"/>
      </w:pPr>
      <w:rPr>
        <w:rFonts w:hint="default"/>
      </w:rPr>
    </w:lvl>
    <w:lvl w:ilvl="1">
      <w:start w:val="1"/>
      <w:numFmt w:val="decimal"/>
      <w:lvlText w:val="%1.%2"/>
      <w:lvlJc w:val="left"/>
      <w:pPr>
        <w:ind w:left="510" w:hanging="510"/>
      </w:pPr>
      <w:rPr>
        <w:rFonts w:hint="default"/>
      </w:rPr>
    </w:lvl>
    <w:lvl w:ilvl="2">
      <w:start w:val="1"/>
      <w:numFmt w:val="decimal"/>
      <w:lvlText w:val="%1.%2.%3"/>
      <w:lvlJc w:val="left"/>
      <w:pPr>
        <w:ind w:left="624" w:hanging="624"/>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131D6E64"/>
    <w:multiLevelType w:val="hybridMultilevel"/>
    <w:tmpl w:val="6CB832CE"/>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1AF43DCC"/>
    <w:multiLevelType w:val="multilevel"/>
    <w:tmpl w:val="5BC4CCCC"/>
    <w:lvl w:ilvl="0">
      <w:start w:val="1"/>
      <w:numFmt w:val="decimal"/>
      <w:lvlText w:val="%1."/>
      <w:lvlJc w:val="left"/>
      <w:pPr>
        <w:ind w:left="431" w:hanging="431"/>
      </w:pPr>
      <w:rPr>
        <w:rFonts w:hint="default"/>
      </w:rPr>
    </w:lvl>
    <w:lvl w:ilvl="1">
      <w:start w:val="1"/>
      <w:numFmt w:val="decimal"/>
      <w:lvlText w:val="%1.%2"/>
      <w:lvlJc w:val="left"/>
      <w:pPr>
        <w:ind w:left="544" w:hanging="544"/>
      </w:pPr>
      <w:rPr>
        <w:rFonts w:hint="default"/>
      </w:rPr>
    </w:lvl>
    <w:lvl w:ilvl="2">
      <w:start w:val="1"/>
      <w:numFmt w:val="decimal"/>
      <w:lvlText w:val="%1.%2.%3"/>
      <w:lvlJc w:val="left"/>
      <w:pPr>
        <w:ind w:left="624" w:hanging="624"/>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1B275CAE"/>
    <w:multiLevelType w:val="multilevel"/>
    <w:tmpl w:val="ECB8D3FA"/>
    <w:lvl w:ilvl="0">
      <w:start w:val="1"/>
      <w:numFmt w:val="decimal"/>
      <w:lvlText w:val="%1."/>
      <w:lvlJc w:val="left"/>
      <w:pPr>
        <w:ind w:left="431" w:hanging="431"/>
      </w:pPr>
      <w:rPr>
        <w:rFonts w:hint="default"/>
      </w:rPr>
    </w:lvl>
    <w:lvl w:ilvl="1">
      <w:start w:val="1"/>
      <w:numFmt w:val="decimal"/>
      <w:lvlText w:val="%1.%2"/>
      <w:lvlJc w:val="left"/>
      <w:pPr>
        <w:ind w:left="510" w:hanging="510"/>
      </w:pPr>
      <w:rPr>
        <w:rFonts w:hint="default"/>
      </w:rPr>
    </w:lvl>
    <w:lvl w:ilvl="2">
      <w:start w:val="1"/>
      <w:numFmt w:val="decimal"/>
      <w:lvlText w:val="%1.%2.%3"/>
      <w:lvlJc w:val="left"/>
      <w:pPr>
        <w:ind w:left="658" w:hanging="658"/>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20CE3C72"/>
    <w:multiLevelType w:val="multilevel"/>
    <w:tmpl w:val="7F9CF968"/>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B9E19B9"/>
    <w:multiLevelType w:val="multilevel"/>
    <w:tmpl w:val="E6A4A0B2"/>
    <w:lvl w:ilvl="0">
      <w:start w:val="1"/>
      <w:numFmt w:val="bullet"/>
      <w:pStyle w:val="Punktlista"/>
      <w:lvlText w:val=""/>
      <w:lvlJc w:val="left"/>
      <w:pPr>
        <w:ind w:left="360" w:hanging="360"/>
      </w:pPr>
      <w:rPr>
        <w:rFonts w:ascii="Symbol" w:hAnsi="Symbol" w:hint="default"/>
        <w:color w:val="auto"/>
      </w:rPr>
    </w:lvl>
    <w:lvl w:ilvl="1">
      <w:start w:val="1"/>
      <w:numFmt w:val="bullet"/>
      <w:pStyle w:val="Punktlista2"/>
      <w:lvlText w:val=""/>
      <w:lvlJc w:val="left"/>
      <w:pPr>
        <w:ind w:left="720" w:hanging="360"/>
      </w:pPr>
      <w:rPr>
        <w:rFonts w:ascii="Symbol" w:hAnsi="Symbol" w:hint="default"/>
        <w:color w:val="auto"/>
      </w:rPr>
    </w:lvl>
    <w:lvl w:ilvl="2">
      <w:start w:val="1"/>
      <w:numFmt w:val="bullet"/>
      <w:pStyle w:val="Punktlista3"/>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DD87237"/>
    <w:multiLevelType w:val="hybridMultilevel"/>
    <w:tmpl w:val="851AA1A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9" w15:restartNumberingAfterBreak="0">
    <w:nsid w:val="30D339C4"/>
    <w:multiLevelType w:val="hybridMultilevel"/>
    <w:tmpl w:val="5D8ACA10"/>
    <w:lvl w:ilvl="0" w:tplc="B4CC7FC6">
      <w:numFmt w:val="bullet"/>
      <w:lvlText w:val="-"/>
      <w:lvlJc w:val="left"/>
      <w:pPr>
        <w:ind w:left="720" w:hanging="360"/>
      </w:pPr>
      <w:rPr>
        <w:rFonts w:ascii="Arial" w:eastAsiaTheme="minorHAnsi" w:hAnsi="Arial" w:cs="Aria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1596CC7"/>
    <w:multiLevelType w:val="hybridMultilevel"/>
    <w:tmpl w:val="7F9CF968"/>
    <w:lvl w:ilvl="0" w:tplc="641AA168">
      <w:start w:val="1"/>
      <w:numFmt w:val="bullet"/>
      <w:pStyle w:val="Liststycke"/>
      <w:lvlText w:val=""/>
      <w:lvlJc w:val="left"/>
      <w:pPr>
        <w:ind w:left="284" w:hanging="284"/>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39E7675"/>
    <w:multiLevelType w:val="multilevel"/>
    <w:tmpl w:val="DB7E116E"/>
    <w:lvl w:ilvl="0">
      <w:start w:val="1"/>
      <w:numFmt w:val="bullet"/>
      <w:lvlText w:val=""/>
      <w:lvlJc w:val="left"/>
      <w:pPr>
        <w:ind w:left="1418" w:hanging="1418"/>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420B63C8"/>
    <w:multiLevelType w:val="multilevel"/>
    <w:tmpl w:val="B8C62BA4"/>
    <w:lvl w:ilvl="0">
      <w:start w:val="1"/>
      <w:numFmt w:val="decimal"/>
      <w:pStyle w:val="Numreradrubrik1"/>
      <w:lvlText w:val="%1."/>
      <w:lvlJc w:val="left"/>
      <w:pPr>
        <w:ind w:left="431" w:hanging="431"/>
      </w:pPr>
      <w:rPr>
        <w:rFonts w:hint="default"/>
      </w:rPr>
    </w:lvl>
    <w:lvl w:ilvl="1">
      <w:start w:val="1"/>
      <w:numFmt w:val="decimal"/>
      <w:pStyle w:val="Numreradrubrik2"/>
      <w:lvlText w:val="%1.%2"/>
      <w:lvlJc w:val="left"/>
      <w:pPr>
        <w:ind w:left="510" w:hanging="510"/>
      </w:pPr>
      <w:rPr>
        <w:rFonts w:hint="default"/>
      </w:rPr>
    </w:lvl>
    <w:lvl w:ilvl="2">
      <w:start w:val="1"/>
      <w:numFmt w:val="decimal"/>
      <w:pStyle w:val="Numreradrubrik3"/>
      <w:lvlText w:val="%1.%2.%3"/>
      <w:lvlJc w:val="left"/>
      <w:pPr>
        <w:ind w:left="658" w:hanging="658"/>
      </w:pPr>
      <w:rPr>
        <w:rFonts w:hint="default"/>
      </w:rPr>
    </w:lvl>
    <w:lvl w:ilvl="3">
      <w:start w:val="1"/>
      <w:numFmt w:val="decimal"/>
      <w:pStyle w:val="Numreradrubrik4"/>
      <w:lvlText w:val="%1.%2.%3.%4"/>
      <w:lvlJc w:val="left"/>
      <w:pPr>
        <w:ind w:left="794" w:hanging="794"/>
      </w:pPr>
      <w:rPr>
        <w:rFonts w:hint="default"/>
      </w:rPr>
    </w:lvl>
    <w:lvl w:ilvl="4">
      <w:start w:val="1"/>
      <w:numFmt w:val="decimal"/>
      <w:pStyle w:val="Numreradrubrik5"/>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48594CA3"/>
    <w:multiLevelType w:val="multilevel"/>
    <w:tmpl w:val="B7500B70"/>
    <w:lvl w:ilvl="0">
      <w:start w:val="1"/>
      <w:numFmt w:val="decimal"/>
      <w:lvlText w:val="%1."/>
      <w:lvlJc w:val="left"/>
      <w:pPr>
        <w:ind w:left="431" w:hanging="431"/>
      </w:pPr>
      <w:rPr>
        <w:rFonts w:hint="default"/>
      </w:rPr>
    </w:lvl>
    <w:lvl w:ilvl="1">
      <w:start w:val="1"/>
      <w:numFmt w:val="decimal"/>
      <w:lvlText w:val="%1.%2"/>
      <w:lvlJc w:val="left"/>
      <w:pPr>
        <w:ind w:left="510" w:hanging="510"/>
      </w:pPr>
      <w:rPr>
        <w:rFonts w:hint="default"/>
      </w:rPr>
    </w:lvl>
    <w:lvl w:ilvl="2">
      <w:start w:val="1"/>
      <w:numFmt w:val="decimal"/>
      <w:lvlText w:val="%1.%2.%3"/>
      <w:lvlJc w:val="left"/>
      <w:pPr>
        <w:ind w:left="658" w:hanging="658"/>
      </w:pPr>
      <w:rPr>
        <w:rFonts w:hint="default"/>
      </w:rPr>
    </w:lvl>
    <w:lvl w:ilvl="3">
      <w:start w:val="1"/>
      <w:numFmt w:val="decimal"/>
      <w:lvlText w:val="%1.%2.%3.%4"/>
      <w:lvlJc w:val="left"/>
      <w:pPr>
        <w:ind w:left="771" w:hanging="771"/>
      </w:pPr>
      <w:rPr>
        <w:rFonts w:hint="default"/>
      </w:rPr>
    </w:lvl>
    <w:lvl w:ilvl="4">
      <w:start w:val="1"/>
      <w:numFmt w:val="decimal"/>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69A65A9B"/>
    <w:multiLevelType w:val="multilevel"/>
    <w:tmpl w:val="35BA98BE"/>
    <w:lvl w:ilvl="0">
      <w:start w:val="1"/>
      <w:numFmt w:val="bullet"/>
      <w:lvlText w:val=""/>
      <w:lvlJc w:val="left"/>
      <w:pPr>
        <w:ind w:left="567" w:hanging="567"/>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700A0CCF"/>
    <w:multiLevelType w:val="hybridMultilevel"/>
    <w:tmpl w:val="4022BCB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0"/>
  </w:num>
  <w:num w:numId="2">
    <w:abstractNumId w:val="12"/>
  </w:num>
  <w:num w:numId="3">
    <w:abstractNumId w:val="7"/>
  </w:num>
  <w:num w:numId="4">
    <w:abstractNumId w:val="4"/>
  </w:num>
  <w:num w:numId="5">
    <w:abstractNumId w:val="2"/>
  </w:num>
  <w:num w:numId="6">
    <w:abstractNumId w:val="5"/>
  </w:num>
  <w:num w:numId="7">
    <w:abstractNumId w:val="13"/>
  </w:num>
  <w:num w:numId="8">
    <w:abstractNumId w:val="15"/>
  </w:num>
  <w:num w:numId="9">
    <w:abstractNumId w:val="10"/>
  </w:num>
  <w:num w:numId="10">
    <w:abstractNumId w:val="11"/>
  </w:num>
  <w:num w:numId="11">
    <w:abstractNumId w:val="14"/>
  </w:num>
  <w:num w:numId="12">
    <w:abstractNumId w:val="6"/>
  </w:num>
  <w:num w:numId="13">
    <w:abstractNumId w:val="9"/>
  </w:num>
  <w:num w:numId="14">
    <w:abstractNumId w:val="1"/>
  </w:num>
  <w:num w:numId="15">
    <w:abstractNumId w:val="8"/>
  </w:num>
  <w:num w:numId="16">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0768"/>
    <w:rsid w:val="00001D7E"/>
    <w:rsid w:val="00005047"/>
    <w:rsid w:val="0001269F"/>
    <w:rsid w:val="00025DDE"/>
    <w:rsid w:val="00031D4D"/>
    <w:rsid w:val="000339C2"/>
    <w:rsid w:val="00033C20"/>
    <w:rsid w:val="00053A15"/>
    <w:rsid w:val="00064F5B"/>
    <w:rsid w:val="00073E81"/>
    <w:rsid w:val="00074987"/>
    <w:rsid w:val="000808FC"/>
    <w:rsid w:val="00087BB7"/>
    <w:rsid w:val="00091B3F"/>
    <w:rsid w:val="000B3FD7"/>
    <w:rsid w:val="000C1967"/>
    <w:rsid w:val="000C2C2A"/>
    <w:rsid w:val="000C6B44"/>
    <w:rsid w:val="000D2A6E"/>
    <w:rsid w:val="000E074A"/>
    <w:rsid w:val="000E1FE5"/>
    <w:rsid w:val="000E2C81"/>
    <w:rsid w:val="000F1931"/>
    <w:rsid w:val="000F1C17"/>
    <w:rsid w:val="000F221E"/>
    <w:rsid w:val="00104622"/>
    <w:rsid w:val="001054D7"/>
    <w:rsid w:val="0011735D"/>
    <w:rsid w:val="0012608A"/>
    <w:rsid w:val="00132768"/>
    <w:rsid w:val="00135BA9"/>
    <w:rsid w:val="00141DC1"/>
    <w:rsid w:val="001432F3"/>
    <w:rsid w:val="00145BC4"/>
    <w:rsid w:val="001468B0"/>
    <w:rsid w:val="00150329"/>
    <w:rsid w:val="00157F53"/>
    <w:rsid w:val="0019598C"/>
    <w:rsid w:val="001A1E44"/>
    <w:rsid w:val="001B1EC7"/>
    <w:rsid w:val="001B5367"/>
    <w:rsid w:val="001E12B8"/>
    <w:rsid w:val="001F693C"/>
    <w:rsid w:val="002003F9"/>
    <w:rsid w:val="0021409F"/>
    <w:rsid w:val="00225D84"/>
    <w:rsid w:val="002313AF"/>
    <w:rsid w:val="002726BC"/>
    <w:rsid w:val="00294EF1"/>
    <w:rsid w:val="002A153F"/>
    <w:rsid w:val="002D470F"/>
    <w:rsid w:val="002F1C12"/>
    <w:rsid w:val="00316DC7"/>
    <w:rsid w:val="00325A83"/>
    <w:rsid w:val="00356B76"/>
    <w:rsid w:val="003574B6"/>
    <w:rsid w:val="00363D47"/>
    <w:rsid w:val="0038380B"/>
    <w:rsid w:val="00385D1D"/>
    <w:rsid w:val="0038796D"/>
    <w:rsid w:val="003A3ACC"/>
    <w:rsid w:val="003A5D98"/>
    <w:rsid w:val="003B7240"/>
    <w:rsid w:val="003B77AB"/>
    <w:rsid w:val="003C31F2"/>
    <w:rsid w:val="003D01B4"/>
    <w:rsid w:val="004236AF"/>
    <w:rsid w:val="00423C70"/>
    <w:rsid w:val="004241E0"/>
    <w:rsid w:val="004256D1"/>
    <w:rsid w:val="00441B15"/>
    <w:rsid w:val="0045516B"/>
    <w:rsid w:val="0047265F"/>
    <w:rsid w:val="00476C25"/>
    <w:rsid w:val="00484FF8"/>
    <w:rsid w:val="00491D1A"/>
    <w:rsid w:val="0049692E"/>
    <w:rsid w:val="004A050B"/>
    <w:rsid w:val="004A7260"/>
    <w:rsid w:val="004B4463"/>
    <w:rsid w:val="004C470E"/>
    <w:rsid w:val="004D44DD"/>
    <w:rsid w:val="004E3AE2"/>
    <w:rsid w:val="0050167A"/>
    <w:rsid w:val="0050186C"/>
    <w:rsid w:val="00543362"/>
    <w:rsid w:val="00545EE0"/>
    <w:rsid w:val="005502C1"/>
    <w:rsid w:val="00567DDB"/>
    <w:rsid w:val="00575F73"/>
    <w:rsid w:val="00580B3F"/>
    <w:rsid w:val="00583FE3"/>
    <w:rsid w:val="005A06BA"/>
    <w:rsid w:val="005A0CFA"/>
    <w:rsid w:val="005A76AD"/>
    <w:rsid w:val="005C17A0"/>
    <w:rsid w:val="00612C2B"/>
    <w:rsid w:val="0061427E"/>
    <w:rsid w:val="0062058C"/>
    <w:rsid w:val="00625125"/>
    <w:rsid w:val="00633894"/>
    <w:rsid w:val="00634610"/>
    <w:rsid w:val="00636FDE"/>
    <w:rsid w:val="006407F4"/>
    <w:rsid w:val="006522E6"/>
    <w:rsid w:val="006776DF"/>
    <w:rsid w:val="0068148C"/>
    <w:rsid w:val="00695E64"/>
    <w:rsid w:val="006A03F5"/>
    <w:rsid w:val="006A76F8"/>
    <w:rsid w:val="006B1635"/>
    <w:rsid w:val="006B67E5"/>
    <w:rsid w:val="0071719B"/>
    <w:rsid w:val="007409FA"/>
    <w:rsid w:val="0076411A"/>
    <w:rsid w:val="00771B86"/>
    <w:rsid w:val="007736CC"/>
    <w:rsid w:val="0078643F"/>
    <w:rsid w:val="007869DC"/>
    <w:rsid w:val="007B3A35"/>
    <w:rsid w:val="007E06A9"/>
    <w:rsid w:val="007E0768"/>
    <w:rsid w:val="007F01B8"/>
    <w:rsid w:val="0080280E"/>
    <w:rsid w:val="00802855"/>
    <w:rsid w:val="00803C6B"/>
    <w:rsid w:val="008047F8"/>
    <w:rsid w:val="008060B4"/>
    <w:rsid w:val="008127E5"/>
    <w:rsid w:val="0081583B"/>
    <w:rsid w:val="00816335"/>
    <w:rsid w:val="0082004F"/>
    <w:rsid w:val="00824C3C"/>
    <w:rsid w:val="00840258"/>
    <w:rsid w:val="0086046A"/>
    <w:rsid w:val="00870DD1"/>
    <w:rsid w:val="00874D8E"/>
    <w:rsid w:val="00877A6F"/>
    <w:rsid w:val="00880014"/>
    <w:rsid w:val="008A11C1"/>
    <w:rsid w:val="008B18C1"/>
    <w:rsid w:val="008E7B39"/>
    <w:rsid w:val="008F1CF1"/>
    <w:rsid w:val="008F4F97"/>
    <w:rsid w:val="008F6C0D"/>
    <w:rsid w:val="0090361A"/>
    <w:rsid w:val="0091592C"/>
    <w:rsid w:val="00932405"/>
    <w:rsid w:val="00942D70"/>
    <w:rsid w:val="00962E11"/>
    <w:rsid w:val="00965A1D"/>
    <w:rsid w:val="009858ED"/>
    <w:rsid w:val="00995CC1"/>
    <w:rsid w:val="009965A8"/>
    <w:rsid w:val="009A56F9"/>
    <w:rsid w:val="009A59C7"/>
    <w:rsid w:val="009A63FD"/>
    <w:rsid w:val="009D4EB4"/>
    <w:rsid w:val="009E0AC0"/>
    <w:rsid w:val="009E5C7A"/>
    <w:rsid w:val="009F4337"/>
    <w:rsid w:val="00A069AE"/>
    <w:rsid w:val="00A10DE6"/>
    <w:rsid w:val="00A2642F"/>
    <w:rsid w:val="00A34026"/>
    <w:rsid w:val="00A374AB"/>
    <w:rsid w:val="00A41960"/>
    <w:rsid w:val="00A744F9"/>
    <w:rsid w:val="00A85002"/>
    <w:rsid w:val="00A86DD2"/>
    <w:rsid w:val="00AA3411"/>
    <w:rsid w:val="00AB5D43"/>
    <w:rsid w:val="00AB6405"/>
    <w:rsid w:val="00AD18AE"/>
    <w:rsid w:val="00B23316"/>
    <w:rsid w:val="00B30CEF"/>
    <w:rsid w:val="00B36454"/>
    <w:rsid w:val="00B61F68"/>
    <w:rsid w:val="00B64366"/>
    <w:rsid w:val="00B77AC8"/>
    <w:rsid w:val="00B80E8E"/>
    <w:rsid w:val="00B80FA6"/>
    <w:rsid w:val="00B844B5"/>
    <w:rsid w:val="00B860A9"/>
    <w:rsid w:val="00B93861"/>
    <w:rsid w:val="00B94EAD"/>
    <w:rsid w:val="00BA64D4"/>
    <w:rsid w:val="00BD29A5"/>
    <w:rsid w:val="00BF0F24"/>
    <w:rsid w:val="00C16F87"/>
    <w:rsid w:val="00C25AE9"/>
    <w:rsid w:val="00C35D94"/>
    <w:rsid w:val="00C45725"/>
    <w:rsid w:val="00C46025"/>
    <w:rsid w:val="00C51D8A"/>
    <w:rsid w:val="00C565BD"/>
    <w:rsid w:val="00C630D7"/>
    <w:rsid w:val="00C63927"/>
    <w:rsid w:val="00C6673F"/>
    <w:rsid w:val="00C777AF"/>
    <w:rsid w:val="00C77B48"/>
    <w:rsid w:val="00C81149"/>
    <w:rsid w:val="00C84BD5"/>
    <w:rsid w:val="00CA3DB1"/>
    <w:rsid w:val="00CA7E73"/>
    <w:rsid w:val="00CC5AE0"/>
    <w:rsid w:val="00CC619E"/>
    <w:rsid w:val="00CE1681"/>
    <w:rsid w:val="00CE3E85"/>
    <w:rsid w:val="00CE4D9B"/>
    <w:rsid w:val="00CF2A78"/>
    <w:rsid w:val="00D10719"/>
    <w:rsid w:val="00D10925"/>
    <w:rsid w:val="00D14DBE"/>
    <w:rsid w:val="00D56D39"/>
    <w:rsid w:val="00D80567"/>
    <w:rsid w:val="00D8618E"/>
    <w:rsid w:val="00DA0F05"/>
    <w:rsid w:val="00DA422C"/>
    <w:rsid w:val="00DB70F4"/>
    <w:rsid w:val="00DC1F21"/>
    <w:rsid w:val="00DC3E50"/>
    <w:rsid w:val="00DD396A"/>
    <w:rsid w:val="00DE5370"/>
    <w:rsid w:val="00DE6CB5"/>
    <w:rsid w:val="00DF61F3"/>
    <w:rsid w:val="00E21AB8"/>
    <w:rsid w:val="00E21F92"/>
    <w:rsid w:val="00E52E27"/>
    <w:rsid w:val="00E62F80"/>
    <w:rsid w:val="00E70E3A"/>
    <w:rsid w:val="00E758DE"/>
    <w:rsid w:val="00E773B7"/>
    <w:rsid w:val="00EA186F"/>
    <w:rsid w:val="00EA515C"/>
    <w:rsid w:val="00EA61FE"/>
    <w:rsid w:val="00EC6A46"/>
    <w:rsid w:val="00EC7C2F"/>
    <w:rsid w:val="00ED57C8"/>
    <w:rsid w:val="00F027D1"/>
    <w:rsid w:val="00F15414"/>
    <w:rsid w:val="00F15989"/>
    <w:rsid w:val="00F3155C"/>
    <w:rsid w:val="00F33357"/>
    <w:rsid w:val="00F50678"/>
    <w:rsid w:val="00F56183"/>
    <w:rsid w:val="00F56CD4"/>
    <w:rsid w:val="00F5787B"/>
    <w:rsid w:val="00F70FED"/>
    <w:rsid w:val="00F7185D"/>
    <w:rsid w:val="00F759F8"/>
    <w:rsid w:val="00F80DB7"/>
    <w:rsid w:val="00FB546A"/>
    <w:rsid w:val="00FD6666"/>
    <w:rsid w:val="00FF201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BBEDE73"/>
  <w15:chartTrackingRefBased/>
  <w15:docId w15:val="{2CC49F5F-290C-4BDD-A21B-35C78DBCCF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4" w:semiHidden="1" w:unhideWhenUsed="1"/>
    <w:lsdException w:name="List Bullet 5" w:semiHidden="1" w:unhideWhenUsed="1"/>
    <w:lsdException w:name="List Number 2" w:semiHidden="1"/>
    <w:lsdException w:name="List Number 3" w:semiHidden="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F221E"/>
    <w:pPr>
      <w:spacing w:before="120" w:after="120" w:line="276" w:lineRule="auto"/>
    </w:pPr>
    <w:rPr>
      <w:rFonts w:ascii="Arial" w:hAnsi="Arial"/>
      <w:lang w:val="sv-SE"/>
    </w:rPr>
  </w:style>
  <w:style w:type="paragraph" w:styleId="Rubrik1">
    <w:name w:val="heading 1"/>
    <w:next w:val="Normal"/>
    <w:link w:val="Rubrik1Char"/>
    <w:uiPriority w:val="9"/>
    <w:qFormat/>
    <w:rsid w:val="000F221E"/>
    <w:pPr>
      <w:keepNext/>
      <w:keepLines/>
      <w:spacing w:before="480" w:after="160" w:line="380" w:lineRule="atLeast"/>
      <w:outlineLvl w:val="0"/>
    </w:pPr>
    <w:rPr>
      <w:rFonts w:ascii="Arial" w:eastAsiaTheme="majorEastAsia" w:hAnsi="Arial" w:cstheme="majorBidi"/>
      <w:b/>
      <w:bCs/>
      <w:color w:val="000000" w:themeColor="text1"/>
      <w:sz w:val="32"/>
      <w:szCs w:val="32"/>
      <w:lang w:val="sv-SE"/>
    </w:rPr>
  </w:style>
  <w:style w:type="paragraph" w:styleId="Rubrik2">
    <w:name w:val="heading 2"/>
    <w:basedOn w:val="Rubrik1"/>
    <w:next w:val="Normal"/>
    <w:link w:val="Rubrik2Char"/>
    <w:uiPriority w:val="9"/>
    <w:qFormat/>
    <w:rsid w:val="009D4EB4"/>
    <w:pPr>
      <w:spacing w:before="360" w:after="120" w:line="300" w:lineRule="atLeast"/>
      <w:outlineLvl w:val="1"/>
    </w:pPr>
    <w:rPr>
      <w:bCs w:val="0"/>
      <w:sz w:val="26"/>
      <w:szCs w:val="26"/>
    </w:rPr>
  </w:style>
  <w:style w:type="paragraph" w:styleId="Rubrik3">
    <w:name w:val="heading 3"/>
    <w:basedOn w:val="Rubrik2"/>
    <w:next w:val="Normal"/>
    <w:link w:val="Rubrik3Char"/>
    <w:uiPriority w:val="9"/>
    <w:qFormat/>
    <w:rsid w:val="009D4EB4"/>
    <w:pPr>
      <w:outlineLvl w:val="2"/>
    </w:pPr>
    <w:rPr>
      <w:bCs/>
      <w:sz w:val="22"/>
    </w:rPr>
  </w:style>
  <w:style w:type="paragraph" w:styleId="Rubrik4">
    <w:name w:val="heading 4"/>
    <w:basedOn w:val="Rubrik3"/>
    <w:next w:val="Normal"/>
    <w:link w:val="Rubrik4Char"/>
    <w:uiPriority w:val="9"/>
    <w:unhideWhenUsed/>
    <w:rsid w:val="00695E64"/>
    <w:pPr>
      <w:outlineLvl w:val="3"/>
    </w:pPr>
    <w:rPr>
      <w:b w:val="0"/>
      <w:bCs w:val="0"/>
      <w:iCs/>
    </w:rPr>
  </w:style>
  <w:style w:type="paragraph" w:styleId="Rubrik5">
    <w:name w:val="heading 5"/>
    <w:basedOn w:val="Normal"/>
    <w:next w:val="Normal"/>
    <w:link w:val="Rubrik5Char"/>
    <w:uiPriority w:val="9"/>
    <w:semiHidden/>
    <w:qFormat/>
    <w:rsid w:val="00CE4D9B"/>
    <w:pPr>
      <w:keepNext/>
      <w:keepLines/>
      <w:spacing w:before="200" w:after="0"/>
      <w:outlineLvl w:val="4"/>
    </w:pPr>
    <w:rPr>
      <w:rFonts w:asciiTheme="majorHAnsi" w:eastAsiaTheme="majorEastAsia" w:hAnsiTheme="majorHAnsi" w:cstheme="majorBidi"/>
      <w:i/>
      <w:color w:val="000000" w:themeColor="text1"/>
      <w:sz w:val="20"/>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semiHidden/>
    <w:rsid w:val="00CE4D9B"/>
    <w:pPr>
      <w:tabs>
        <w:tab w:val="center" w:pos="4703"/>
        <w:tab w:val="right" w:pos="9406"/>
      </w:tabs>
      <w:spacing w:after="0"/>
    </w:pPr>
  </w:style>
  <w:style w:type="character" w:customStyle="1" w:styleId="SidhuvudChar">
    <w:name w:val="Sidhuvud Char"/>
    <w:basedOn w:val="Standardstycketeckensnitt"/>
    <w:link w:val="Sidhuvud"/>
    <w:uiPriority w:val="99"/>
    <w:semiHidden/>
    <w:rsid w:val="00CE4D9B"/>
    <w:rPr>
      <w:sz w:val="23"/>
      <w:lang w:val="sv-SE"/>
    </w:rPr>
  </w:style>
  <w:style w:type="paragraph" w:styleId="Sidfot">
    <w:name w:val="footer"/>
    <w:basedOn w:val="Normal"/>
    <w:link w:val="SidfotChar"/>
    <w:uiPriority w:val="99"/>
    <w:rsid w:val="00CE4D9B"/>
    <w:pPr>
      <w:tabs>
        <w:tab w:val="center" w:pos="4703"/>
        <w:tab w:val="right" w:pos="9406"/>
      </w:tabs>
      <w:spacing w:line="180" w:lineRule="atLeast"/>
    </w:pPr>
    <w:rPr>
      <w:sz w:val="15"/>
    </w:rPr>
  </w:style>
  <w:style w:type="character" w:customStyle="1" w:styleId="SidfotChar">
    <w:name w:val="Sidfot Char"/>
    <w:basedOn w:val="Standardstycketeckensnitt"/>
    <w:link w:val="Sidfot"/>
    <w:uiPriority w:val="99"/>
    <w:rsid w:val="00CE4D9B"/>
    <w:rPr>
      <w:sz w:val="15"/>
      <w:lang w:val="sv-SE"/>
    </w:rPr>
  </w:style>
  <w:style w:type="paragraph" w:styleId="Ballongtext">
    <w:name w:val="Balloon Text"/>
    <w:basedOn w:val="Normal"/>
    <w:link w:val="BallongtextChar"/>
    <w:uiPriority w:val="99"/>
    <w:semiHidden/>
    <w:unhideWhenUsed/>
    <w:rsid w:val="00CE4D9B"/>
    <w:pPr>
      <w:spacing w:after="0"/>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CE4D9B"/>
    <w:rPr>
      <w:rFonts w:ascii="Tahoma" w:hAnsi="Tahoma" w:cs="Tahoma"/>
      <w:sz w:val="16"/>
      <w:szCs w:val="16"/>
      <w:lang w:val="sv-SE"/>
    </w:rPr>
  </w:style>
  <w:style w:type="table" w:styleId="Tabellrutnt">
    <w:name w:val="Table Grid"/>
    <w:basedOn w:val="Normaltabell"/>
    <w:uiPriority w:val="59"/>
    <w:rsid w:val="00CE4D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CE4D9B"/>
    <w:rPr>
      <w:color w:val="0000FF" w:themeColor="hyperlink"/>
      <w:u w:val="single"/>
    </w:rPr>
  </w:style>
  <w:style w:type="paragraph" w:styleId="Ingetavstnd">
    <w:name w:val="No Spacing"/>
    <w:uiPriority w:val="1"/>
    <w:semiHidden/>
    <w:qFormat/>
    <w:rsid w:val="00CE4D9B"/>
    <w:pPr>
      <w:spacing w:after="0" w:line="240" w:lineRule="auto"/>
    </w:pPr>
  </w:style>
  <w:style w:type="paragraph" w:customStyle="1" w:styleId="Adress">
    <w:name w:val="Adress"/>
    <w:basedOn w:val="Sidhuvud"/>
    <w:semiHidden/>
    <w:qFormat/>
    <w:rsid w:val="00CE4D9B"/>
    <w:pPr>
      <w:framePr w:wrap="around" w:vAnchor="page" w:hAnchor="margin" w:xAlign="right" w:y="1986"/>
      <w:spacing w:line="180" w:lineRule="atLeast"/>
      <w:suppressOverlap/>
    </w:pPr>
    <w:rPr>
      <w:sz w:val="15"/>
    </w:rPr>
  </w:style>
  <w:style w:type="paragraph" w:customStyle="1" w:styleId="Mottagare">
    <w:name w:val="Mottagare"/>
    <w:basedOn w:val="Normal"/>
    <w:semiHidden/>
    <w:qFormat/>
    <w:rsid w:val="00CE4D9B"/>
    <w:rPr>
      <w:rFonts w:asciiTheme="majorHAnsi" w:hAnsiTheme="majorHAnsi"/>
      <w:b/>
    </w:rPr>
  </w:style>
  <w:style w:type="character" w:customStyle="1" w:styleId="Rubrik1Char">
    <w:name w:val="Rubrik 1 Char"/>
    <w:basedOn w:val="Standardstycketeckensnitt"/>
    <w:link w:val="Rubrik1"/>
    <w:uiPriority w:val="9"/>
    <w:rsid w:val="000F221E"/>
    <w:rPr>
      <w:rFonts w:ascii="Arial" w:eastAsiaTheme="majorEastAsia" w:hAnsi="Arial" w:cstheme="majorBidi"/>
      <w:b/>
      <w:bCs/>
      <w:color w:val="000000" w:themeColor="text1"/>
      <w:sz w:val="32"/>
      <w:szCs w:val="32"/>
      <w:lang w:val="sv-SE"/>
    </w:rPr>
  </w:style>
  <w:style w:type="character" w:customStyle="1" w:styleId="Rubrik2Char">
    <w:name w:val="Rubrik 2 Char"/>
    <w:basedOn w:val="Standardstycketeckensnitt"/>
    <w:link w:val="Rubrik2"/>
    <w:uiPriority w:val="9"/>
    <w:rsid w:val="009D4EB4"/>
    <w:rPr>
      <w:rFonts w:asciiTheme="majorHAnsi" w:eastAsiaTheme="majorEastAsia" w:hAnsiTheme="majorHAnsi" w:cstheme="majorBidi"/>
      <w:b/>
      <w:color w:val="000000" w:themeColor="text1"/>
      <w:sz w:val="26"/>
      <w:szCs w:val="26"/>
      <w:lang w:val="sv-SE"/>
    </w:rPr>
  </w:style>
  <w:style w:type="paragraph" w:styleId="Rubrik">
    <w:name w:val="Title"/>
    <w:next w:val="Normal"/>
    <w:link w:val="RubrikChar"/>
    <w:uiPriority w:val="10"/>
    <w:qFormat/>
    <w:rsid w:val="000F221E"/>
    <w:pPr>
      <w:spacing w:after="240" w:line="780" w:lineRule="atLeast"/>
      <w:contextualSpacing/>
    </w:pPr>
    <w:rPr>
      <w:rFonts w:ascii="Arial" w:eastAsiaTheme="majorEastAsia" w:hAnsi="Arial" w:cstheme="majorBidi"/>
      <w:b/>
      <w:bCs/>
      <w:color w:val="000000" w:themeColor="text1"/>
      <w:kern w:val="28"/>
      <w:sz w:val="72"/>
      <w:szCs w:val="76"/>
      <w:lang w:val="sv-SE"/>
    </w:rPr>
  </w:style>
  <w:style w:type="character" w:customStyle="1" w:styleId="RubrikChar">
    <w:name w:val="Rubrik Char"/>
    <w:basedOn w:val="Standardstycketeckensnitt"/>
    <w:link w:val="Rubrik"/>
    <w:uiPriority w:val="10"/>
    <w:rsid w:val="000F221E"/>
    <w:rPr>
      <w:rFonts w:ascii="Arial" w:eastAsiaTheme="majorEastAsia" w:hAnsi="Arial" w:cstheme="majorBidi"/>
      <w:b/>
      <w:bCs/>
      <w:color w:val="000000" w:themeColor="text1"/>
      <w:kern w:val="28"/>
      <w:sz w:val="72"/>
      <w:szCs w:val="76"/>
      <w:lang w:val="sv-SE"/>
    </w:rPr>
  </w:style>
  <w:style w:type="paragraph" w:styleId="Underrubrik">
    <w:name w:val="Subtitle"/>
    <w:basedOn w:val="Rubrik"/>
    <w:next w:val="Normal"/>
    <w:link w:val="UnderrubrikChar"/>
    <w:uiPriority w:val="11"/>
    <w:qFormat/>
    <w:rsid w:val="005A76AD"/>
    <w:pPr>
      <w:numPr>
        <w:ilvl w:val="1"/>
      </w:numPr>
      <w:spacing w:after="640" w:line="380" w:lineRule="atLeast"/>
    </w:pPr>
    <w:rPr>
      <w:bCs w:val="0"/>
      <w:sz w:val="32"/>
      <w:szCs w:val="32"/>
    </w:rPr>
  </w:style>
  <w:style w:type="character" w:customStyle="1" w:styleId="UnderrubrikChar">
    <w:name w:val="Underrubrik Char"/>
    <w:basedOn w:val="Standardstycketeckensnitt"/>
    <w:link w:val="Underrubrik"/>
    <w:uiPriority w:val="11"/>
    <w:rsid w:val="005A76AD"/>
    <w:rPr>
      <w:rFonts w:asciiTheme="majorHAnsi" w:eastAsiaTheme="majorEastAsia" w:hAnsiTheme="majorHAnsi" w:cstheme="majorBidi"/>
      <w:b/>
      <w:color w:val="000000" w:themeColor="text1"/>
      <w:kern w:val="28"/>
      <w:sz w:val="32"/>
      <w:szCs w:val="32"/>
      <w:lang w:val="sv-SE"/>
    </w:rPr>
  </w:style>
  <w:style w:type="paragraph" w:customStyle="1" w:styleId="Avsndare">
    <w:name w:val="Avsändare"/>
    <w:basedOn w:val="Normal"/>
    <w:semiHidden/>
    <w:qFormat/>
    <w:rsid w:val="00CE4D9B"/>
    <w:rPr>
      <w:rFonts w:asciiTheme="majorHAnsi" w:hAnsiTheme="majorHAnsi"/>
    </w:rPr>
  </w:style>
  <w:style w:type="paragraph" w:styleId="Punktlista">
    <w:name w:val="List Bullet"/>
    <w:basedOn w:val="Normal"/>
    <w:uiPriority w:val="99"/>
    <w:semiHidden/>
    <w:rsid w:val="0081583B"/>
    <w:pPr>
      <w:numPr>
        <w:numId w:val="3"/>
      </w:numPr>
      <w:contextualSpacing/>
    </w:pPr>
  </w:style>
  <w:style w:type="paragraph" w:styleId="Punktlista2">
    <w:name w:val="List Bullet 2"/>
    <w:basedOn w:val="Normal"/>
    <w:uiPriority w:val="99"/>
    <w:semiHidden/>
    <w:rsid w:val="0081583B"/>
    <w:pPr>
      <w:numPr>
        <w:ilvl w:val="1"/>
        <w:numId w:val="3"/>
      </w:numPr>
      <w:contextualSpacing/>
    </w:pPr>
  </w:style>
  <w:style w:type="paragraph" w:styleId="Punktlista3">
    <w:name w:val="List Bullet 3"/>
    <w:basedOn w:val="Normal"/>
    <w:uiPriority w:val="99"/>
    <w:semiHidden/>
    <w:rsid w:val="0081583B"/>
    <w:pPr>
      <w:numPr>
        <w:ilvl w:val="2"/>
        <w:numId w:val="3"/>
      </w:numPr>
      <w:contextualSpacing/>
    </w:pPr>
  </w:style>
  <w:style w:type="paragraph" w:styleId="Numreradlista">
    <w:name w:val="List Number"/>
    <w:basedOn w:val="Normal"/>
    <w:uiPriority w:val="99"/>
    <w:semiHidden/>
    <w:rsid w:val="0081583B"/>
    <w:pPr>
      <w:numPr>
        <w:numId w:val="1"/>
      </w:numPr>
      <w:contextualSpacing/>
    </w:pPr>
  </w:style>
  <w:style w:type="table" w:styleId="Ljuslista-dekorfrg1">
    <w:name w:val="Light List Accent 1"/>
    <w:basedOn w:val="Normaltabell"/>
    <w:uiPriority w:val="61"/>
    <w:rsid w:val="004A7260"/>
    <w:pPr>
      <w:spacing w:after="0" w:line="240" w:lineRule="auto"/>
    </w:pPr>
    <w:tblPr>
      <w:tblStyleRowBandSize w:val="1"/>
      <w:tblStyleColBandSize w:val="1"/>
      <w:tblInd w:w="108" w:type="dxa"/>
      <w:tblBorders>
        <w:top w:val="single" w:sz="8" w:space="0" w:color="672565" w:themeColor="accent1"/>
        <w:left w:val="single" w:sz="8" w:space="0" w:color="672565" w:themeColor="accent1"/>
        <w:bottom w:val="single" w:sz="8" w:space="0" w:color="672565" w:themeColor="accent1"/>
        <w:right w:val="single" w:sz="8" w:space="0" w:color="672565" w:themeColor="accent1"/>
        <w:insideH w:val="single" w:sz="8" w:space="0" w:color="672565" w:themeColor="accent1"/>
        <w:insideV w:val="single" w:sz="8" w:space="0" w:color="672565" w:themeColor="accent1"/>
      </w:tblBorders>
    </w:tblPr>
    <w:tblStylePr w:type="firstRow">
      <w:pPr>
        <w:spacing w:before="0" w:after="0" w:line="240" w:lineRule="auto"/>
      </w:pPr>
      <w:rPr>
        <w:b/>
        <w:bCs/>
        <w:color w:val="FFFFFF" w:themeColor="background1"/>
      </w:rPr>
      <w:tblPr/>
      <w:tcPr>
        <w:shd w:val="clear" w:color="auto" w:fill="672565" w:themeFill="accent1"/>
      </w:tcPr>
    </w:tblStylePr>
    <w:tblStylePr w:type="lastRow">
      <w:pPr>
        <w:spacing w:before="0" w:after="0" w:line="240" w:lineRule="auto"/>
      </w:pPr>
      <w:rPr>
        <w:b/>
        <w:bCs/>
      </w:rPr>
      <w:tblPr/>
      <w:tcPr>
        <w:tcBorders>
          <w:top w:val="double" w:sz="6" w:space="0" w:color="672565" w:themeColor="accent1"/>
          <w:left w:val="single" w:sz="8" w:space="0" w:color="672565" w:themeColor="accent1"/>
          <w:bottom w:val="single" w:sz="8" w:space="0" w:color="672565" w:themeColor="accent1"/>
          <w:right w:val="single" w:sz="8" w:space="0" w:color="672565" w:themeColor="accent1"/>
        </w:tcBorders>
      </w:tcPr>
    </w:tblStylePr>
    <w:tblStylePr w:type="firstCol">
      <w:rPr>
        <w:b w:val="0"/>
        <w:bCs/>
      </w:rPr>
    </w:tblStylePr>
    <w:tblStylePr w:type="lastCol">
      <w:rPr>
        <w:b/>
        <w:bCs/>
      </w:rPr>
    </w:tblStylePr>
    <w:tblStylePr w:type="band1Vert">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tblStylePr w:type="band1Horz">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style>
  <w:style w:type="paragraph" w:customStyle="1" w:styleId="Sammanfattning">
    <w:name w:val="Sammanfattning"/>
    <w:basedOn w:val="Underrubrik"/>
    <w:semiHidden/>
    <w:qFormat/>
    <w:rsid w:val="00CE4D9B"/>
    <w:pPr>
      <w:framePr w:hSpace="181" w:wrap="around" w:vAnchor="page" w:hAnchor="text" w:x="2518" w:y="3687"/>
      <w:spacing w:before="360" w:line="340" w:lineRule="atLeast"/>
      <w:suppressOverlap/>
    </w:pPr>
    <w:rPr>
      <w:rFonts w:asciiTheme="minorHAnsi" w:hAnsiTheme="minorHAnsi"/>
      <w:i/>
      <w:sz w:val="22"/>
    </w:rPr>
  </w:style>
  <w:style w:type="paragraph" w:styleId="Innehllsfrteckningsrubrik">
    <w:name w:val="TOC Heading"/>
    <w:basedOn w:val="Rubrik1"/>
    <w:next w:val="Normal"/>
    <w:uiPriority w:val="39"/>
    <w:semiHidden/>
    <w:qFormat/>
    <w:rsid w:val="00CE4D9B"/>
    <w:pPr>
      <w:spacing w:line="276" w:lineRule="auto"/>
      <w:outlineLvl w:val="9"/>
    </w:pPr>
    <w:rPr>
      <w:lang w:val="en-US" w:eastAsia="ja-JP"/>
    </w:rPr>
  </w:style>
  <w:style w:type="paragraph" w:styleId="Innehll1">
    <w:name w:val="toc 1"/>
    <w:basedOn w:val="Normal"/>
    <w:next w:val="Normal"/>
    <w:uiPriority w:val="39"/>
    <w:rsid w:val="00C51D8A"/>
    <w:pPr>
      <w:tabs>
        <w:tab w:val="left" w:pos="397"/>
        <w:tab w:val="right" w:leader="dot" w:pos="7371"/>
        <w:tab w:val="right" w:leader="dot" w:pos="8789"/>
      </w:tabs>
      <w:spacing w:after="100"/>
    </w:pPr>
    <w:rPr>
      <w:noProof/>
    </w:rPr>
  </w:style>
  <w:style w:type="paragraph" w:styleId="Innehll2">
    <w:name w:val="toc 2"/>
    <w:basedOn w:val="Normal"/>
    <w:next w:val="Normal"/>
    <w:uiPriority w:val="39"/>
    <w:rsid w:val="001E12B8"/>
    <w:pPr>
      <w:tabs>
        <w:tab w:val="left" w:pos="794"/>
        <w:tab w:val="right" w:leader="dot" w:pos="7371"/>
        <w:tab w:val="right" w:leader="dot" w:pos="8789"/>
      </w:tabs>
      <w:spacing w:after="100"/>
      <w:ind w:left="284"/>
    </w:pPr>
    <w:rPr>
      <w:noProof/>
    </w:rPr>
  </w:style>
  <w:style w:type="character" w:customStyle="1" w:styleId="Rubrik3Char">
    <w:name w:val="Rubrik 3 Char"/>
    <w:basedOn w:val="Standardstycketeckensnitt"/>
    <w:link w:val="Rubrik3"/>
    <w:uiPriority w:val="9"/>
    <w:rsid w:val="009D4EB4"/>
    <w:rPr>
      <w:rFonts w:asciiTheme="majorHAnsi" w:eastAsiaTheme="majorEastAsia" w:hAnsiTheme="majorHAnsi" w:cstheme="majorBidi"/>
      <w:b/>
      <w:bCs/>
      <w:color w:val="000000" w:themeColor="text1"/>
      <w:szCs w:val="26"/>
      <w:lang w:val="sv-SE"/>
    </w:rPr>
  </w:style>
  <w:style w:type="paragraph" w:styleId="Innehll3">
    <w:name w:val="toc 3"/>
    <w:basedOn w:val="Normal"/>
    <w:next w:val="Normal"/>
    <w:uiPriority w:val="39"/>
    <w:rsid w:val="001E12B8"/>
    <w:pPr>
      <w:tabs>
        <w:tab w:val="left" w:pos="1134"/>
        <w:tab w:val="right" w:leader="dot" w:pos="7371"/>
        <w:tab w:val="left" w:leader="dot" w:pos="8789"/>
      </w:tabs>
      <w:spacing w:after="100"/>
      <w:ind w:left="459"/>
    </w:pPr>
    <w:rPr>
      <w:noProof/>
    </w:rPr>
  </w:style>
  <w:style w:type="table" w:customStyle="1" w:styleId="Tabellrutnt1">
    <w:name w:val="Tabellrutnät1"/>
    <w:basedOn w:val="Normaltabell"/>
    <w:uiPriority w:val="59"/>
    <w:rsid w:val="00F15414"/>
    <w:pPr>
      <w:spacing w:after="0" w:line="240" w:lineRule="auto"/>
    </w:pPr>
    <w:rPr>
      <w:rFonts w:ascii="Times New Roman" w:hAnsi="Times New Roman"/>
    </w:rPr>
    <w:tblPr>
      <w:tblStyleColBandSize w:val="1"/>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cantSplit/>
    </w:trPr>
    <w:tblStylePr w:type="firstRow">
      <w:rPr>
        <w:rFonts w:asciiTheme="majorHAnsi" w:hAnsiTheme="majorHAnsi"/>
        <w:b/>
        <w:sz w:val="22"/>
      </w:rPr>
      <w:tblPr/>
      <w:trPr>
        <w:tblHeader/>
      </w:trPr>
      <w:tcPr>
        <w:shd w:val="clear" w:color="auto" w:fill="DCDDDE" w:themeFill="accent2" w:themeFillTint="33"/>
      </w:tcPr>
    </w:tblStylePr>
    <w:tblStylePr w:type="band1Vert">
      <w:rPr>
        <w:rFonts w:ascii="Times New Roman" w:hAnsi="Times New Roman"/>
        <w:sz w:val="22"/>
      </w:rPr>
      <w:tblPr/>
      <w:trPr>
        <w:cantSplit/>
      </w:trPr>
      <w:tcPr>
        <w:shd w:val="clear" w:color="auto" w:fill="FFFFFF" w:themeFill="background1"/>
      </w:tcPr>
    </w:tblStylePr>
    <w:tblStylePr w:type="band2Vert">
      <w:rPr>
        <w:rFonts w:ascii="Times New Roman" w:hAnsi="Times New Roman"/>
        <w:sz w:val="22"/>
      </w:rPr>
    </w:tblStylePr>
  </w:style>
  <w:style w:type="paragraph" w:styleId="Brdtext">
    <w:name w:val="Body Text"/>
    <w:basedOn w:val="Normal"/>
    <w:link w:val="BrdtextChar"/>
    <w:uiPriority w:val="99"/>
    <w:semiHidden/>
    <w:rsid w:val="00CE4D9B"/>
  </w:style>
  <w:style w:type="character" w:customStyle="1" w:styleId="BrdtextChar">
    <w:name w:val="Brödtext Char"/>
    <w:basedOn w:val="Standardstycketeckensnitt"/>
    <w:link w:val="Brdtext"/>
    <w:uiPriority w:val="99"/>
    <w:semiHidden/>
    <w:rsid w:val="00CE4D9B"/>
    <w:rPr>
      <w:sz w:val="23"/>
      <w:lang w:val="sv-SE"/>
    </w:rPr>
  </w:style>
  <w:style w:type="paragraph" w:styleId="Normaltindrag">
    <w:name w:val="Normal Indent"/>
    <w:basedOn w:val="Normal"/>
    <w:link w:val="NormaltindragChar"/>
    <w:rsid w:val="005A76AD"/>
    <w:pPr>
      <w:ind w:left="567"/>
    </w:pPr>
  </w:style>
  <w:style w:type="paragraph" w:customStyle="1" w:styleId="Numreradrubrik1">
    <w:name w:val="Numrerad rubrik 1"/>
    <w:basedOn w:val="Rubrik1"/>
    <w:next w:val="Normal"/>
    <w:qFormat/>
    <w:rsid w:val="000F221E"/>
    <w:pPr>
      <w:numPr>
        <w:numId w:val="2"/>
      </w:numPr>
    </w:pPr>
  </w:style>
  <w:style w:type="paragraph" w:customStyle="1" w:styleId="Numreradrubrik2">
    <w:name w:val="Numrerad rubrik 2"/>
    <w:basedOn w:val="Rubrik2"/>
    <w:next w:val="Normal"/>
    <w:autoRedefine/>
    <w:qFormat/>
    <w:rsid w:val="000F221E"/>
    <w:pPr>
      <w:numPr>
        <w:ilvl w:val="1"/>
        <w:numId w:val="2"/>
      </w:numPr>
    </w:pPr>
  </w:style>
  <w:style w:type="paragraph" w:customStyle="1" w:styleId="Numreradrubrik3">
    <w:name w:val="Numrerad rubrik 3"/>
    <w:basedOn w:val="Rubrik3"/>
    <w:next w:val="Normal"/>
    <w:qFormat/>
    <w:rsid w:val="000F221E"/>
    <w:pPr>
      <w:numPr>
        <w:ilvl w:val="2"/>
        <w:numId w:val="2"/>
      </w:numPr>
    </w:pPr>
  </w:style>
  <w:style w:type="character" w:customStyle="1" w:styleId="Rubrik4Char">
    <w:name w:val="Rubrik 4 Char"/>
    <w:basedOn w:val="Standardstycketeckensnitt"/>
    <w:link w:val="Rubrik4"/>
    <w:uiPriority w:val="9"/>
    <w:rsid w:val="00053A15"/>
    <w:rPr>
      <w:rFonts w:asciiTheme="majorHAnsi" w:eastAsiaTheme="majorEastAsia" w:hAnsiTheme="majorHAnsi" w:cstheme="majorBidi"/>
      <w:iCs/>
      <w:color w:val="000000" w:themeColor="text1"/>
      <w:szCs w:val="26"/>
      <w:lang w:val="sv-SE"/>
    </w:rPr>
  </w:style>
  <w:style w:type="paragraph" w:customStyle="1" w:styleId="Numreradrubrik4">
    <w:name w:val="Numrerad rubrik 4"/>
    <w:basedOn w:val="Rubrik4"/>
    <w:next w:val="Normal"/>
    <w:unhideWhenUsed/>
    <w:rsid w:val="00695E64"/>
    <w:pPr>
      <w:numPr>
        <w:ilvl w:val="3"/>
        <w:numId w:val="2"/>
      </w:numPr>
    </w:pPr>
  </w:style>
  <w:style w:type="character" w:customStyle="1" w:styleId="Rubrik5Char">
    <w:name w:val="Rubrik 5 Char"/>
    <w:basedOn w:val="Standardstycketeckensnitt"/>
    <w:link w:val="Rubrik5"/>
    <w:uiPriority w:val="9"/>
    <w:semiHidden/>
    <w:rsid w:val="00CE4D9B"/>
    <w:rPr>
      <w:rFonts w:asciiTheme="majorHAnsi" w:eastAsiaTheme="majorEastAsia" w:hAnsiTheme="majorHAnsi" w:cstheme="majorBidi"/>
      <w:i/>
      <w:color w:val="000000" w:themeColor="text1"/>
      <w:sz w:val="20"/>
      <w:lang w:val="sv-SE"/>
    </w:rPr>
  </w:style>
  <w:style w:type="paragraph" w:customStyle="1" w:styleId="Numreradrubrik5">
    <w:name w:val="Numrerad rubrik 5"/>
    <w:basedOn w:val="Rubrik5"/>
    <w:semiHidden/>
    <w:qFormat/>
    <w:rsid w:val="0081583B"/>
    <w:pPr>
      <w:numPr>
        <w:ilvl w:val="4"/>
        <w:numId w:val="2"/>
      </w:numPr>
    </w:pPr>
  </w:style>
  <w:style w:type="paragraph" w:customStyle="1" w:styleId="Tabellrubrik">
    <w:name w:val="Tabellrubrik"/>
    <w:basedOn w:val="Rubrik3"/>
    <w:next w:val="Tabelltext"/>
    <w:uiPriority w:val="14"/>
    <w:rsid w:val="001B5367"/>
    <w:pPr>
      <w:spacing w:before="120" w:line="240" w:lineRule="auto"/>
    </w:pPr>
    <w:rPr>
      <w:bCs w:val="0"/>
    </w:rPr>
  </w:style>
  <w:style w:type="paragraph" w:customStyle="1" w:styleId="Tabelltext">
    <w:name w:val="Tabelltext"/>
    <w:basedOn w:val="Normal"/>
    <w:uiPriority w:val="14"/>
    <w:rsid w:val="009D4EB4"/>
    <w:pPr>
      <w:ind w:left="57"/>
    </w:pPr>
    <w:rPr>
      <w:rFonts w:eastAsiaTheme="majorEastAsia" w:cstheme="majorBidi"/>
      <w:bCs/>
      <w:color w:val="000000" w:themeColor="text1"/>
    </w:rPr>
  </w:style>
  <w:style w:type="character" w:customStyle="1" w:styleId="NormaltindragChar">
    <w:name w:val="Normalt indrag Char"/>
    <w:basedOn w:val="Standardstycketeckensnitt"/>
    <w:link w:val="Normaltindrag"/>
    <w:rsid w:val="005A76AD"/>
    <w:rPr>
      <w:rFonts w:ascii="Georgia" w:hAnsi="Georgia"/>
      <w:lang w:val="sv-SE"/>
    </w:rPr>
  </w:style>
  <w:style w:type="paragraph" w:styleId="Liststycke">
    <w:name w:val="List Paragraph"/>
    <w:basedOn w:val="Normal"/>
    <w:uiPriority w:val="34"/>
    <w:qFormat/>
    <w:rsid w:val="0050186C"/>
    <w:pPr>
      <w:numPr>
        <w:numId w:val="9"/>
      </w:numPr>
    </w:pPr>
  </w:style>
  <w:style w:type="table" w:styleId="Frgadskuggning-dekorfrg6">
    <w:name w:val="Colorful Shading Accent 6"/>
    <w:basedOn w:val="Normaltabell"/>
    <w:uiPriority w:val="71"/>
    <w:rsid w:val="00612C2B"/>
    <w:pPr>
      <w:spacing w:after="0" w:line="240" w:lineRule="auto"/>
    </w:pPr>
    <w:rPr>
      <w:color w:val="000000" w:themeColor="text1"/>
    </w:rPr>
    <w:tblPr>
      <w:tblStyleRowBandSize w:val="1"/>
      <w:tblStyleColBandSize w:val="1"/>
      <w:tblBorders>
        <w:top w:val="single" w:sz="24" w:space="0" w:color="32DAC4" w:themeColor="accent5"/>
        <w:left w:val="single" w:sz="4" w:space="0" w:color="DDC4BA" w:themeColor="accent6"/>
        <w:bottom w:val="single" w:sz="4" w:space="0" w:color="DDC4BA" w:themeColor="accent6"/>
        <w:right w:val="single" w:sz="4" w:space="0" w:color="DDC4BA" w:themeColor="accent6"/>
        <w:insideH w:val="single" w:sz="4" w:space="0" w:color="FFFFFF" w:themeColor="background1"/>
        <w:insideV w:val="single" w:sz="4" w:space="0" w:color="FFFFFF" w:themeColor="background1"/>
      </w:tblBorders>
    </w:tblPr>
    <w:tcPr>
      <w:shd w:val="clear" w:color="auto" w:fill="FBF9F8" w:themeFill="accent6" w:themeFillTint="19"/>
    </w:tcPr>
    <w:tblStylePr w:type="firstRow">
      <w:rPr>
        <w:b/>
        <w:bCs/>
      </w:rPr>
      <w:tblPr/>
      <w:tcPr>
        <w:tcBorders>
          <w:top w:val="nil"/>
          <w:left w:val="nil"/>
          <w:bottom w:val="single" w:sz="24" w:space="0" w:color="32DA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36850" w:themeFill="accent6" w:themeFillShade="99"/>
      </w:tcPr>
    </w:tblStylePr>
    <w:tblStylePr w:type="firstCol">
      <w:rPr>
        <w:color w:val="FFFFFF" w:themeColor="background1"/>
      </w:rPr>
      <w:tblPr/>
      <w:tcPr>
        <w:tcBorders>
          <w:top w:val="nil"/>
          <w:left w:val="nil"/>
          <w:bottom w:val="nil"/>
          <w:right w:val="nil"/>
          <w:insideH w:val="single" w:sz="4" w:space="0" w:color="A36850" w:themeColor="accent6" w:themeShade="99"/>
          <w:insideV w:val="nil"/>
        </w:tcBorders>
        <w:shd w:val="clear" w:color="auto" w:fill="A36850"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A36850" w:themeFill="accent6" w:themeFillShade="99"/>
      </w:tcPr>
    </w:tblStylePr>
    <w:tblStylePr w:type="band1Vert">
      <w:tblPr/>
      <w:tcPr>
        <w:shd w:val="clear" w:color="auto" w:fill="F1E7E3" w:themeFill="accent6" w:themeFillTint="66"/>
      </w:tcPr>
    </w:tblStylePr>
    <w:tblStylePr w:type="band1Horz">
      <w:tblPr/>
      <w:tcPr>
        <w:shd w:val="clear" w:color="auto" w:fill="EEE1DC" w:themeFill="accent6" w:themeFillTint="7F"/>
      </w:tcPr>
    </w:tblStylePr>
    <w:tblStylePr w:type="neCell">
      <w:rPr>
        <w:color w:val="000000" w:themeColor="text1"/>
      </w:rPr>
    </w:tblStylePr>
    <w:tblStylePr w:type="nwCell">
      <w:rPr>
        <w:color w:val="000000" w:themeColor="text1"/>
      </w:rPr>
    </w:tblStylePr>
  </w:style>
  <w:style w:type="table" w:styleId="Frgadlista">
    <w:name w:val="Colorful List"/>
    <w:basedOn w:val="Normaltabell"/>
    <w:uiPriority w:val="72"/>
    <w:rsid w:val="00612C2B"/>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rgadlista-dekorfrg3">
    <w:name w:val="Colorful List Accent 3"/>
    <w:basedOn w:val="Normaltabell"/>
    <w:uiPriority w:val="72"/>
    <w:rsid w:val="00612C2B"/>
    <w:pPr>
      <w:spacing w:after="0" w:line="240" w:lineRule="auto"/>
    </w:pPr>
    <w:rPr>
      <w:color w:val="000000" w:themeColor="text1"/>
    </w:rPr>
    <w:tblPr>
      <w:tblStyleRowBandSize w:val="1"/>
      <w:tblStyleColBandSize w:val="1"/>
    </w:tblPr>
    <w:tcPr>
      <w:shd w:val="clear" w:color="auto" w:fill="E3F7FF" w:themeFill="accent3" w:themeFillTint="19"/>
    </w:tcPr>
    <w:tblStylePr w:type="firstRow">
      <w:rPr>
        <w:b/>
        <w:bCs/>
        <w:color w:val="FFFFFF" w:themeColor="background1"/>
      </w:rPr>
      <w:tblPr/>
      <w:tcPr>
        <w:tcBorders>
          <w:bottom w:val="single" w:sz="12" w:space="0" w:color="FFFFFF" w:themeColor="background1"/>
        </w:tcBorders>
        <w:shd w:val="clear" w:color="auto" w:fill="E25775" w:themeFill="accent4" w:themeFillShade="CC"/>
      </w:tcPr>
    </w:tblStylePr>
    <w:tblStylePr w:type="lastRow">
      <w:rPr>
        <w:b/>
        <w:bCs/>
        <w:color w:val="E25775"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8ECFF" w:themeFill="accent3" w:themeFillTint="3F"/>
      </w:tcPr>
    </w:tblStylePr>
    <w:tblStylePr w:type="band1Horz">
      <w:tblPr/>
      <w:tcPr>
        <w:shd w:val="clear" w:color="auto" w:fill="C6F0FF" w:themeFill="accent3" w:themeFillTint="33"/>
      </w:tcPr>
    </w:tblStylePr>
  </w:style>
  <w:style w:type="table" w:styleId="Frgadlista-dekorfrg4">
    <w:name w:val="Colorful List Accent 4"/>
    <w:basedOn w:val="Normaltabell"/>
    <w:uiPriority w:val="72"/>
    <w:rsid w:val="00612C2B"/>
    <w:pPr>
      <w:spacing w:after="0" w:line="240" w:lineRule="auto"/>
    </w:pPr>
    <w:rPr>
      <w:color w:val="000000" w:themeColor="text1"/>
    </w:rPr>
    <w:tblPr>
      <w:tblStyleRowBandSize w:val="1"/>
      <w:tblStyleColBandSize w:val="1"/>
    </w:tblPr>
    <w:tcPr>
      <w:shd w:val="clear" w:color="auto" w:fill="FDF5F6" w:themeFill="accent4" w:themeFillTint="19"/>
    </w:tcPr>
    <w:tblStylePr w:type="firstRow">
      <w:rPr>
        <w:b/>
        <w:bCs/>
        <w:color w:val="FFFFFF" w:themeColor="background1"/>
      </w:rPr>
      <w:tblPr/>
      <w:tcPr>
        <w:tcBorders>
          <w:bottom w:val="single" w:sz="12" w:space="0" w:color="FFFFFF" w:themeColor="background1"/>
        </w:tcBorders>
        <w:shd w:val="clear" w:color="auto" w:fill="0085B4" w:themeFill="accent3" w:themeFillShade="CC"/>
      </w:tcPr>
    </w:tblStylePr>
    <w:tblStylePr w:type="lastRow">
      <w:rPr>
        <w:b/>
        <w:bCs/>
        <w:color w:val="0085B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E6EA" w:themeFill="accent4" w:themeFillTint="3F"/>
      </w:tcPr>
    </w:tblStylePr>
    <w:tblStylePr w:type="band1Horz">
      <w:tblPr/>
      <w:tcPr>
        <w:shd w:val="clear" w:color="auto" w:fill="FBEAEE" w:themeFill="accent4" w:themeFillTint="33"/>
      </w:tcPr>
    </w:tblStylePr>
  </w:style>
  <w:style w:type="table" w:styleId="Frgadlista-dekorfrg5">
    <w:name w:val="Colorful List Accent 5"/>
    <w:basedOn w:val="Normaltabell"/>
    <w:uiPriority w:val="72"/>
    <w:rsid w:val="00612C2B"/>
    <w:pPr>
      <w:spacing w:after="0" w:line="240" w:lineRule="auto"/>
    </w:pPr>
    <w:rPr>
      <w:color w:val="000000" w:themeColor="text1"/>
    </w:rPr>
    <w:tblPr>
      <w:tblStyleRowBandSize w:val="1"/>
      <w:tblStyleColBandSize w:val="1"/>
    </w:tblPr>
    <w:tcPr>
      <w:shd w:val="clear" w:color="auto" w:fill="EAFBF9" w:themeFill="accent5" w:themeFillTint="19"/>
    </w:tcPr>
    <w:tblStylePr w:type="firstRow">
      <w:rPr>
        <w:b/>
        <w:bCs/>
        <w:color w:val="FFFFFF" w:themeColor="background1"/>
      </w:rPr>
      <w:tblPr/>
      <w:tcPr>
        <w:tcBorders>
          <w:bottom w:val="single" w:sz="12" w:space="0" w:color="FFFFFF" w:themeColor="background1"/>
        </w:tcBorders>
        <w:shd w:val="clear" w:color="auto" w:fill="C29583" w:themeFill="accent6" w:themeFillShade="CC"/>
      </w:tcPr>
    </w:tblStylePr>
    <w:tblStylePr w:type="lastRow">
      <w:rPr>
        <w:b/>
        <w:bCs/>
        <w:color w:val="C29583"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CF5F0" w:themeFill="accent5" w:themeFillTint="3F"/>
      </w:tcPr>
    </w:tblStylePr>
    <w:tblStylePr w:type="band1Horz">
      <w:tblPr/>
      <w:tcPr>
        <w:shd w:val="clear" w:color="auto" w:fill="D5F7F3" w:themeFill="accent5" w:themeFillTint="33"/>
      </w:tcPr>
    </w:tblStylePr>
  </w:style>
  <w:style w:type="table" w:styleId="Frgatrutnt">
    <w:name w:val="Colorful Grid"/>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rgadlista-dekorfrg6">
    <w:name w:val="Colorful List Accent 6"/>
    <w:basedOn w:val="Normaltabell"/>
    <w:uiPriority w:val="72"/>
    <w:rsid w:val="00612C2B"/>
    <w:pPr>
      <w:spacing w:after="0" w:line="240" w:lineRule="auto"/>
    </w:pPr>
    <w:rPr>
      <w:color w:val="000000" w:themeColor="text1"/>
    </w:rPr>
    <w:tblPr>
      <w:tblStyleRowBandSize w:val="1"/>
      <w:tblStyleColBandSize w:val="1"/>
    </w:tblPr>
    <w:tcPr>
      <w:shd w:val="clear" w:color="auto" w:fill="FBF9F8" w:themeFill="accent6" w:themeFillTint="19"/>
    </w:tcPr>
    <w:tblStylePr w:type="firstRow">
      <w:rPr>
        <w:b/>
        <w:bCs/>
        <w:color w:val="FFFFFF" w:themeColor="background1"/>
      </w:rPr>
      <w:tblPr/>
      <w:tcPr>
        <w:tcBorders>
          <w:bottom w:val="single" w:sz="12" w:space="0" w:color="FFFFFF" w:themeColor="background1"/>
        </w:tcBorders>
        <w:shd w:val="clear" w:color="auto" w:fill="20B5A1" w:themeFill="accent5" w:themeFillShade="CC"/>
      </w:tcPr>
    </w:tblStylePr>
    <w:tblStylePr w:type="lastRow">
      <w:rPr>
        <w:b/>
        <w:bCs/>
        <w:color w:val="20B5A1"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6F0ED" w:themeFill="accent6" w:themeFillTint="3F"/>
      </w:tcPr>
    </w:tblStylePr>
    <w:tblStylePr w:type="band1Horz">
      <w:tblPr/>
      <w:tcPr>
        <w:shd w:val="clear" w:color="auto" w:fill="F8F3F1" w:themeFill="accent6" w:themeFillTint="33"/>
      </w:tcPr>
    </w:tblStylePr>
  </w:style>
  <w:style w:type="table" w:styleId="Frgatrutnt-dekorfrg2">
    <w:name w:val="Colorful Grid Accent 2"/>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CDDDE" w:themeFill="accent2" w:themeFillTint="33"/>
    </w:tcPr>
    <w:tblStylePr w:type="firstRow">
      <w:rPr>
        <w:b/>
        <w:bCs/>
      </w:rPr>
      <w:tblPr/>
      <w:tcPr>
        <w:shd w:val="clear" w:color="auto" w:fill="BABBBE" w:themeFill="accent2" w:themeFillTint="66"/>
      </w:tcPr>
    </w:tblStylePr>
    <w:tblStylePr w:type="lastRow">
      <w:rPr>
        <w:b/>
        <w:bCs/>
        <w:color w:val="000000" w:themeColor="text1"/>
      </w:rPr>
      <w:tblPr/>
      <w:tcPr>
        <w:shd w:val="clear" w:color="auto" w:fill="BABBBE" w:themeFill="accent2" w:themeFillTint="66"/>
      </w:tcPr>
    </w:tblStylePr>
    <w:tblStylePr w:type="firstCol">
      <w:rPr>
        <w:color w:val="FFFFFF" w:themeColor="background1"/>
      </w:rPr>
      <w:tblPr/>
      <w:tcPr>
        <w:shd w:val="clear" w:color="auto" w:fill="3F4143" w:themeFill="accent2" w:themeFillShade="BF"/>
      </w:tcPr>
    </w:tblStylePr>
    <w:tblStylePr w:type="lastCol">
      <w:rPr>
        <w:color w:val="FFFFFF" w:themeColor="background1"/>
      </w:rPr>
      <w:tblPr/>
      <w:tcPr>
        <w:shd w:val="clear" w:color="auto" w:fill="3F4143" w:themeFill="accent2" w:themeFillShade="BF"/>
      </w:tcPr>
    </w:tblStylePr>
    <w:tblStylePr w:type="band1Vert">
      <w:tblPr/>
      <w:tcPr>
        <w:shd w:val="clear" w:color="auto" w:fill="A9ABAE" w:themeFill="accent2" w:themeFillTint="7F"/>
      </w:tcPr>
    </w:tblStylePr>
    <w:tblStylePr w:type="band1Horz">
      <w:tblPr/>
      <w:tcPr>
        <w:shd w:val="clear" w:color="auto" w:fill="A9ABAE" w:themeFill="accent2" w:themeFillTint="7F"/>
      </w:tcPr>
    </w:tblStylePr>
  </w:style>
  <w:style w:type="table" w:styleId="Ljusskuggning-dekorfrg1">
    <w:name w:val="Light Shading Accent 1"/>
    <w:basedOn w:val="Normaltabell"/>
    <w:uiPriority w:val="60"/>
    <w:rsid w:val="00612C2B"/>
    <w:pPr>
      <w:spacing w:after="0" w:line="240" w:lineRule="auto"/>
    </w:pPr>
    <w:rPr>
      <w:color w:val="4C1B4B" w:themeColor="accent1" w:themeShade="BF"/>
    </w:rPr>
    <w:tblPr>
      <w:tblStyleRowBandSize w:val="1"/>
      <w:tblStyleColBandSize w:val="1"/>
      <w:tblBorders>
        <w:top w:val="single" w:sz="8" w:space="0" w:color="672565" w:themeColor="accent1"/>
        <w:bottom w:val="single" w:sz="8" w:space="0" w:color="672565" w:themeColor="accent1"/>
      </w:tblBorders>
    </w:tblPr>
    <w:tblStylePr w:type="fir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la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BBE5" w:themeFill="accent1" w:themeFillTint="3F"/>
      </w:tcPr>
    </w:tblStylePr>
    <w:tblStylePr w:type="band1Horz">
      <w:tblPr/>
      <w:tcPr>
        <w:tcBorders>
          <w:left w:val="nil"/>
          <w:right w:val="nil"/>
          <w:insideH w:val="nil"/>
          <w:insideV w:val="nil"/>
        </w:tcBorders>
        <w:shd w:val="clear" w:color="auto" w:fill="E6BBE5" w:themeFill="accent1" w:themeFillTint="3F"/>
      </w:tcPr>
    </w:tblStylePr>
  </w:style>
  <w:style w:type="table" w:styleId="Frgadskuggning-dekorfrg2">
    <w:name w:val="Colorful Shading Accent 2"/>
    <w:basedOn w:val="Normaltabell"/>
    <w:uiPriority w:val="71"/>
    <w:rsid w:val="00612C2B"/>
    <w:pPr>
      <w:spacing w:after="0" w:line="240" w:lineRule="auto"/>
    </w:pPr>
    <w:rPr>
      <w:color w:val="000000" w:themeColor="text1"/>
    </w:rPr>
    <w:tblPr>
      <w:tblStyleRowBandSize w:val="1"/>
      <w:tblStyleColBandSize w:val="1"/>
      <w:tblBorders>
        <w:top w:val="single" w:sz="24" w:space="0" w:color="55575A" w:themeColor="accent2"/>
        <w:left w:val="single" w:sz="4" w:space="0" w:color="55575A" w:themeColor="accent2"/>
        <w:bottom w:val="single" w:sz="4" w:space="0" w:color="55575A" w:themeColor="accent2"/>
        <w:right w:val="single" w:sz="4" w:space="0" w:color="55575A" w:themeColor="accent2"/>
        <w:insideH w:val="single" w:sz="4" w:space="0" w:color="FFFFFF" w:themeColor="background1"/>
        <w:insideV w:val="single" w:sz="4" w:space="0" w:color="FFFFFF" w:themeColor="background1"/>
      </w:tblBorders>
    </w:tblPr>
    <w:tcPr>
      <w:shd w:val="clear" w:color="auto" w:fill="EEEEEF" w:themeFill="accent2" w:themeFillTint="19"/>
    </w:tcPr>
    <w:tblStylePr w:type="firstRow">
      <w:rPr>
        <w:b/>
        <w:bCs/>
      </w:rPr>
      <w:tblPr/>
      <w:tcPr>
        <w:tcBorders>
          <w:top w:val="nil"/>
          <w:left w:val="nil"/>
          <w:bottom w:val="single" w:sz="24" w:space="0" w:color="55575A"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33435" w:themeFill="accent2" w:themeFillShade="99"/>
      </w:tcPr>
    </w:tblStylePr>
    <w:tblStylePr w:type="firstCol">
      <w:rPr>
        <w:color w:val="FFFFFF" w:themeColor="background1"/>
      </w:rPr>
      <w:tblPr/>
      <w:tcPr>
        <w:tcBorders>
          <w:top w:val="nil"/>
          <w:left w:val="nil"/>
          <w:bottom w:val="nil"/>
          <w:right w:val="nil"/>
          <w:insideH w:val="single" w:sz="4" w:space="0" w:color="333435" w:themeColor="accent2" w:themeShade="99"/>
          <w:insideV w:val="nil"/>
        </w:tcBorders>
        <w:shd w:val="clear" w:color="auto" w:fill="333435"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333435" w:themeFill="accent2" w:themeFillShade="99"/>
      </w:tcPr>
    </w:tblStylePr>
    <w:tblStylePr w:type="band1Vert">
      <w:tblPr/>
      <w:tcPr>
        <w:shd w:val="clear" w:color="auto" w:fill="BABBBE" w:themeFill="accent2" w:themeFillTint="66"/>
      </w:tcPr>
    </w:tblStylePr>
    <w:tblStylePr w:type="band1Horz">
      <w:tblPr/>
      <w:tcPr>
        <w:shd w:val="clear" w:color="auto" w:fill="A9ABAE" w:themeFill="accent2" w:themeFillTint="7F"/>
      </w:tcPr>
    </w:tblStylePr>
    <w:tblStylePr w:type="neCell">
      <w:rPr>
        <w:color w:val="000000" w:themeColor="text1"/>
      </w:rPr>
    </w:tblStylePr>
    <w:tblStylePr w:type="nwCell">
      <w:rPr>
        <w:color w:val="000000" w:themeColor="text1"/>
      </w:rPr>
    </w:tblStylePr>
  </w:style>
  <w:style w:type="table" w:styleId="Frgadlista-dekorfrg2">
    <w:name w:val="Colorful List Accent 2"/>
    <w:basedOn w:val="Normaltabell"/>
    <w:uiPriority w:val="72"/>
    <w:rsid w:val="00612C2B"/>
    <w:pPr>
      <w:spacing w:after="0" w:line="240" w:lineRule="auto"/>
    </w:pPr>
    <w:rPr>
      <w:color w:val="000000" w:themeColor="text1"/>
    </w:rPr>
    <w:tblPr>
      <w:tblStyleRowBandSize w:val="1"/>
      <w:tblStyleColBandSize w:val="1"/>
    </w:tblPr>
    <w:tcPr>
      <w:shd w:val="clear" w:color="auto" w:fill="EEEEEF" w:themeFill="accent2"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4D5D6" w:themeFill="accent2" w:themeFillTint="3F"/>
      </w:tcPr>
    </w:tblStylePr>
    <w:tblStylePr w:type="band1Horz">
      <w:tblPr/>
      <w:tcPr>
        <w:shd w:val="clear" w:color="auto" w:fill="DCDDDE" w:themeFill="accent2" w:themeFillTint="33"/>
      </w:tcPr>
    </w:tblStylePr>
  </w:style>
  <w:style w:type="table" w:styleId="Mrklista-dekorfrg1">
    <w:name w:val="Dark List Accent 1"/>
    <w:basedOn w:val="Normaltabell"/>
    <w:uiPriority w:val="70"/>
    <w:rsid w:val="00612C2B"/>
    <w:pPr>
      <w:spacing w:after="0" w:line="240" w:lineRule="auto"/>
    </w:pPr>
    <w:rPr>
      <w:color w:val="FFFFFF" w:themeColor="background1"/>
    </w:rPr>
    <w:tblPr>
      <w:tblStyleRowBandSize w:val="1"/>
      <w:tblStyleColBandSize w:val="1"/>
    </w:tblPr>
    <w:tcPr>
      <w:shd w:val="clear" w:color="auto" w:fill="67256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31232"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4C1B4B"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4C1B4B" w:themeFill="accent1" w:themeFillShade="BF"/>
      </w:tcPr>
    </w:tblStylePr>
    <w:tblStylePr w:type="band1Vert">
      <w:tblPr/>
      <w:tcPr>
        <w:tcBorders>
          <w:top w:val="nil"/>
          <w:left w:val="nil"/>
          <w:bottom w:val="nil"/>
          <w:right w:val="nil"/>
          <w:insideH w:val="nil"/>
          <w:insideV w:val="nil"/>
        </w:tcBorders>
        <w:shd w:val="clear" w:color="auto" w:fill="4C1B4B" w:themeFill="accent1" w:themeFillShade="BF"/>
      </w:tcPr>
    </w:tblStylePr>
    <w:tblStylePr w:type="band1Horz">
      <w:tblPr/>
      <w:tcPr>
        <w:tcBorders>
          <w:top w:val="nil"/>
          <w:left w:val="nil"/>
          <w:bottom w:val="nil"/>
          <w:right w:val="nil"/>
          <w:insideH w:val="nil"/>
          <w:insideV w:val="nil"/>
        </w:tcBorders>
        <w:shd w:val="clear" w:color="auto" w:fill="4C1B4B" w:themeFill="accent1" w:themeFillShade="BF"/>
      </w:tcPr>
    </w:tblStylePr>
  </w:style>
  <w:style w:type="table" w:styleId="Ljuslista-dekorfrg2">
    <w:name w:val="Light List Accent 2"/>
    <w:basedOn w:val="Normaltabell"/>
    <w:uiPriority w:val="61"/>
    <w:rsid w:val="00612C2B"/>
    <w:pPr>
      <w:spacing w:after="0" w:line="240" w:lineRule="auto"/>
    </w:pPr>
    <w:tblPr>
      <w:tblStyleRowBandSize w:val="1"/>
      <w:tblStyleColBandSize w:val="1"/>
      <w:tblBorders>
        <w:top w:val="single" w:sz="8" w:space="0" w:color="55575A" w:themeColor="accent2"/>
        <w:left w:val="single" w:sz="8" w:space="0" w:color="55575A" w:themeColor="accent2"/>
        <w:bottom w:val="single" w:sz="8" w:space="0" w:color="55575A" w:themeColor="accent2"/>
        <w:right w:val="single" w:sz="8" w:space="0" w:color="55575A" w:themeColor="accent2"/>
      </w:tblBorders>
    </w:tblPr>
    <w:tblStylePr w:type="firstRow">
      <w:pPr>
        <w:spacing w:before="0" w:after="0" w:line="240" w:lineRule="auto"/>
      </w:pPr>
      <w:rPr>
        <w:b/>
        <w:bCs/>
        <w:color w:val="FFFFFF" w:themeColor="background1"/>
      </w:rPr>
      <w:tblPr/>
      <w:tcPr>
        <w:shd w:val="clear" w:color="auto" w:fill="55575A" w:themeFill="accent2"/>
      </w:tcPr>
    </w:tblStylePr>
    <w:tblStylePr w:type="lastRow">
      <w:pPr>
        <w:spacing w:before="0" w:after="0" w:line="240" w:lineRule="auto"/>
      </w:pPr>
      <w:rPr>
        <w:b/>
        <w:bCs/>
      </w:rPr>
      <w:tblPr/>
      <w:tcPr>
        <w:tcBorders>
          <w:top w:val="double" w:sz="6" w:space="0" w:color="55575A" w:themeColor="accent2"/>
          <w:left w:val="single" w:sz="8" w:space="0" w:color="55575A" w:themeColor="accent2"/>
          <w:bottom w:val="single" w:sz="8" w:space="0" w:color="55575A" w:themeColor="accent2"/>
          <w:right w:val="single" w:sz="8" w:space="0" w:color="55575A" w:themeColor="accent2"/>
        </w:tcBorders>
      </w:tcPr>
    </w:tblStylePr>
    <w:tblStylePr w:type="firstCol">
      <w:rPr>
        <w:b/>
        <w:bCs/>
      </w:rPr>
    </w:tblStylePr>
    <w:tblStylePr w:type="lastCol">
      <w:rPr>
        <w:b/>
        <w:bCs/>
      </w:rPr>
    </w:tblStylePr>
    <w:tblStylePr w:type="band1Vert">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tblStylePr w:type="band1Horz">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style>
  <w:style w:type="table" w:styleId="Ljusskuggning-dekorfrg2">
    <w:name w:val="Light Shading Accent 2"/>
    <w:basedOn w:val="Normaltabell"/>
    <w:uiPriority w:val="60"/>
    <w:rsid w:val="00612C2B"/>
    <w:pPr>
      <w:spacing w:after="0" w:line="240" w:lineRule="auto"/>
    </w:pPr>
    <w:rPr>
      <w:color w:val="3F4143" w:themeColor="accent2" w:themeShade="BF"/>
    </w:rPr>
    <w:tblPr>
      <w:tblStyleRowBandSize w:val="1"/>
      <w:tblStyleColBandSize w:val="1"/>
      <w:tblBorders>
        <w:top w:val="single" w:sz="8" w:space="0" w:color="55575A" w:themeColor="accent2"/>
        <w:bottom w:val="single" w:sz="8" w:space="0" w:color="55575A" w:themeColor="accent2"/>
      </w:tblBorders>
    </w:tblPr>
    <w:tblStylePr w:type="fir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la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4D5D6" w:themeFill="accent2" w:themeFillTint="3F"/>
      </w:tcPr>
    </w:tblStylePr>
    <w:tblStylePr w:type="band1Horz">
      <w:tblPr/>
      <w:tcPr>
        <w:tcBorders>
          <w:left w:val="nil"/>
          <w:right w:val="nil"/>
          <w:insideH w:val="nil"/>
          <w:insideV w:val="nil"/>
        </w:tcBorders>
        <w:shd w:val="clear" w:color="auto" w:fill="D4D5D6" w:themeFill="accent2" w:themeFillTint="3F"/>
      </w:tcPr>
    </w:tblStylePr>
  </w:style>
  <w:style w:type="table" w:styleId="Ljusskuggning-dekorfrg3">
    <w:name w:val="Light Shading Accent 3"/>
    <w:basedOn w:val="Normaltabell"/>
    <w:uiPriority w:val="60"/>
    <w:rsid w:val="004E3AE2"/>
    <w:pPr>
      <w:spacing w:after="0" w:line="240" w:lineRule="auto"/>
    </w:pPr>
    <w:rPr>
      <w:color w:val="007CA9" w:themeColor="accent3" w:themeShade="BF"/>
    </w:rPr>
    <w:tblPr>
      <w:tblStyleRowBandSize w:val="1"/>
      <w:tblStyleColBandSize w:val="1"/>
      <w:tblBorders>
        <w:top w:val="single" w:sz="8" w:space="0" w:color="00A7E2" w:themeColor="accent3"/>
        <w:bottom w:val="single" w:sz="8" w:space="0" w:color="00A7E2" w:themeColor="accent3"/>
      </w:tblBorders>
    </w:tblPr>
    <w:tblStylePr w:type="fir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la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8ECFF" w:themeFill="accent3" w:themeFillTint="3F"/>
      </w:tcPr>
    </w:tblStylePr>
    <w:tblStylePr w:type="band1Horz">
      <w:tblPr/>
      <w:tcPr>
        <w:tcBorders>
          <w:left w:val="nil"/>
          <w:right w:val="nil"/>
          <w:insideH w:val="nil"/>
          <w:insideV w:val="nil"/>
        </w:tcBorders>
        <w:shd w:val="clear" w:color="auto" w:fill="B8ECFF" w:themeFill="accent3" w:themeFillTint="3F"/>
      </w:tcPr>
    </w:tblStylePr>
  </w:style>
  <w:style w:type="paragraph" w:styleId="Innehll4">
    <w:name w:val="toc 4"/>
    <w:basedOn w:val="Normal"/>
    <w:next w:val="Normal"/>
    <w:autoRedefine/>
    <w:uiPriority w:val="39"/>
    <w:unhideWhenUsed/>
    <w:rsid w:val="002D470F"/>
    <w:pPr>
      <w:spacing w:after="100"/>
      <w:ind w:left="660"/>
    </w:pPr>
  </w:style>
  <w:style w:type="paragraph" w:styleId="Fotnotstext">
    <w:name w:val="footnote text"/>
    <w:basedOn w:val="Normal"/>
    <w:link w:val="FotnotstextChar"/>
    <w:uiPriority w:val="99"/>
    <w:unhideWhenUsed/>
    <w:rsid w:val="00F15989"/>
    <w:pPr>
      <w:spacing w:before="0" w:after="0" w:line="240" w:lineRule="auto"/>
    </w:pPr>
    <w:rPr>
      <w:sz w:val="16"/>
      <w:szCs w:val="20"/>
    </w:rPr>
  </w:style>
  <w:style w:type="character" w:customStyle="1" w:styleId="FotnotstextChar">
    <w:name w:val="Fotnotstext Char"/>
    <w:basedOn w:val="Standardstycketeckensnitt"/>
    <w:link w:val="Fotnotstext"/>
    <w:uiPriority w:val="99"/>
    <w:rsid w:val="00F15989"/>
    <w:rPr>
      <w:rFonts w:ascii="Times New Roman" w:hAnsi="Times New Roman"/>
      <w:sz w:val="16"/>
      <w:szCs w:val="20"/>
      <w:lang w:val="sv-SE"/>
    </w:rPr>
  </w:style>
  <w:style w:type="character" w:styleId="Fotnotsreferens">
    <w:name w:val="footnote reference"/>
    <w:basedOn w:val="Standardstycketeckensnitt"/>
    <w:uiPriority w:val="99"/>
    <w:semiHidden/>
    <w:unhideWhenUsed/>
    <w:rsid w:val="00F15989"/>
    <w:rPr>
      <w:vertAlign w:val="superscript"/>
    </w:rPr>
  </w:style>
  <w:style w:type="paragraph" w:styleId="Beskrivning">
    <w:name w:val="caption"/>
    <w:basedOn w:val="Normal"/>
    <w:next w:val="Normal"/>
    <w:uiPriority w:val="35"/>
    <w:unhideWhenUsed/>
    <w:qFormat/>
    <w:rsid w:val="0061427E"/>
    <w:pPr>
      <w:spacing w:before="0" w:after="200"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4067625">
      <w:bodyDiv w:val="1"/>
      <w:marLeft w:val="0"/>
      <w:marRight w:val="0"/>
      <w:marTop w:val="0"/>
      <w:marBottom w:val="0"/>
      <w:divBdr>
        <w:top w:val="none" w:sz="0" w:space="0" w:color="auto"/>
        <w:left w:val="none" w:sz="0" w:space="0" w:color="auto"/>
        <w:bottom w:val="none" w:sz="0" w:space="0" w:color="auto"/>
        <w:right w:val="none" w:sz="0" w:space="0" w:color="auto"/>
      </w:divBdr>
    </w:div>
    <w:div w:id="471334915">
      <w:bodyDiv w:val="1"/>
      <w:marLeft w:val="0"/>
      <w:marRight w:val="0"/>
      <w:marTop w:val="0"/>
      <w:marBottom w:val="0"/>
      <w:divBdr>
        <w:top w:val="none" w:sz="0" w:space="0" w:color="auto"/>
        <w:left w:val="none" w:sz="0" w:space="0" w:color="auto"/>
        <w:bottom w:val="none" w:sz="0" w:space="0" w:color="auto"/>
        <w:right w:val="none" w:sz="0" w:space="0" w:color="auto"/>
      </w:divBdr>
      <w:divsChild>
        <w:div w:id="1005131332">
          <w:marLeft w:val="274"/>
          <w:marRight w:val="0"/>
          <w:marTop w:val="80"/>
          <w:marBottom w:val="80"/>
          <w:divBdr>
            <w:top w:val="none" w:sz="0" w:space="0" w:color="auto"/>
            <w:left w:val="none" w:sz="0" w:space="0" w:color="auto"/>
            <w:bottom w:val="none" w:sz="0" w:space="0" w:color="auto"/>
            <w:right w:val="none" w:sz="0" w:space="0" w:color="auto"/>
          </w:divBdr>
        </w:div>
        <w:div w:id="891113473">
          <w:marLeft w:val="274"/>
          <w:marRight w:val="0"/>
          <w:marTop w:val="80"/>
          <w:marBottom w:val="80"/>
          <w:divBdr>
            <w:top w:val="none" w:sz="0" w:space="0" w:color="auto"/>
            <w:left w:val="none" w:sz="0" w:space="0" w:color="auto"/>
            <w:bottom w:val="none" w:sz="0" w:space="0" w:color="auto"/>
            <w:right w:val="none" w:sz="0" w:space="0" w:color="auto"/>
          </w:divBdr>
        </w:div>
        <w:div w:id="2071733548">
          <w:marLeft w:val="274"/>
          <w:marRight w:val="0"/>
          <w:marTop w:val="80"/>
          <w:marBottom w:val="80"/>
          <w:divBdr>
            <w:top w:val="none" w:sz="0" w:space="0" w:color="auto"/>
            <w:left w:val="none" w:sz="0" w:space="0" w:color="auto"/>
            <w:bottom w:val="none" w:sz="0" w:space="0" w:color="auto"/>
            <w:right w:val="none" w:sz="0" w:space="0" w:color="auto"/>
          </w:divBdr>
        </w:div>
      </w:divsChild>
    </w:div>
    <w:div w:id="1313027316">
      <w:bodyDiv w:val="1"/>
      <w:marLeft w:val="0"/>
      <w:marRight w:val="0"/>
      <w:marTop w:val="0"/>
      <w:marBottom w:val="0"/>
      <w:divBdr>
        <w:top w:val="none" w:sz="0" w:space="0" w:color="auto"/>
        <w:left w:val="none" w:sz="0" w:space="0" w:color="auto"/>
        <w:bottom w:val="none" w:sz="0" w:space="0" w:color="auto"/>
        <w:right w:val="none" w:sz="0" w:space="0" w:color="auto"/>
      </w:divBdr>
    </w:div>
    <w:div w:id="1471943041">
      <w:bodyDiv w:val="1"/>
      <w:marLeft w:val="0"/>
      <w:marRight w:val="0"/>
      <w:marTop w:val="0"/>
      <w:marBottom w:val="0"/>
      <w:divBdr>
        <w:top w:val="none" w:sz="0" w:space="0" w:color="auto"/>
        <w:left w:val="none" w:sz="0" w:space="0" w:color="auto"/>
        <w:bottom w:val="none" w:sz="0" w:space="0" w:color="auto"/>
        <w:right w:val="none" w:sz="0" w:space="0" w:color="auto"/>
      </w:divBdr>
    </w:div>
    <w:div w:id="1537083625">
      <w:bodyDiv w:val="1"/>
      <w:marLeft w:val="0"/>
      <w:marRight w:val="0"/>
      <w:marTop w:val="0"/>
      <w:marBottom w:val="0"/>
      <w:divBdr>
        <w:top w:val="none" w:sz="0" w:space="0" w:color="auto"/>
        <w:left w:val="none" w:sz="0" w:space="0" w:color="auto"/>
        <w:bottom w:val="none" w:sz="0" w:space="0" w:color="auto"/>
        <w:right w:val="none" w:sz="0" w:space="0" w:color="auto"/>
      </w:divBdr>
      <w:divsChild>
        <w:div w:id="1167674626">
          <w:marLeft w:val="274"/>
          <w:marRight w:val="0"/>
          <w:marTop w:val="80"/>
          <w:marBottom w:val="80"/>
          <w:divBdr>
            <w:top w:val="none" w:sz="0" w:space="0" w:color="auto"/>
            <w:left w:val="none" w:sz="0" w:space="0" w:color="auto"/>
            <w:bottom w:val="none" w:sz="0" w:space="0" w:color="auto"/>
            <w:right w:val="none" w:sz="0" w:space="0" w:color="auto"/>
          </w:divBdr>
        </w:div>
        <w:div w:id="804006384">
          <w:marLeft w:val="274"/>
          <w:marRight w:val="0"/>
          <w:marTop w:val="80"/>
          <w:marBottom w:val="80"/>
          <w:divBdr>
            <w:top w:val="none" w:sz="0" w:space="0" w:color="auto"/>
            <w:left w:val="none" w:sz="0" w:space="0" w:color="auto"/>
            <w:bottom w:val="none" w:sz="0" w:space="0" w:color="auto"/>
            <w:right w:val="none" w:sz="0" w:space="0" w:color="auto"/>
          </w:divBdr>
        </w:div>
        <w:div w:id="52393196">
          <w:marLeft w:val="274"/>
          <w:marRight w:val="0"/>
          <w:marTop w:val="80"/>
          <w:marBottom w:val="80"/>
          <w:divBdr>
            <w:top w:val="none" w:sz="0" w:space="0" w:color="auto"/>
            <w:left w:val="none" w:sz="0" w:space="0" w:color="auto"/>
            <w:bottom w:val="none" w:sz="0" w:space="0" w:color="auto"/>
            <w:right w:val="none" w:sz="0" w:space="0" w:color="auto"/>
          </w:divBdr>
        </w:div>
        <w:div w:id="1195272432">
          <w:marLeft w:val="274"/>
          <w:marRight w:val="0"/>
          <w:marTop w:val="80"/>
          <w:marBottom w:val="80"/>
          <w:divBdr>
            <w:top w:val="none" w:sz="0" w:space="0" w:color="auto"/>
            <w:left w:val="none" w:sz="0" w:space="0" w:color="auto"/>
            <w:bottom w:val="none" w:sz="0" w:space="0" w:color="auto"/>
            <w:right w:val="none" w:sz="0" w:space="0" w:color="auto"/>
          </w:divBdr>
        </w:div>
      </w:divsChild>
    </w:div>
    <w:div w:id="1754080871">
      <w:bodyDiv w:val="1"/>
      <w:marLeft w:val="0"/>
      <w:marRight w:val="0"/>
      <w:marTop w:val="0"/>
      <w:marBottom w:val="0"/>
      <w:divBdr>
        <w:top w:val="none" w:sz="0" w:space="0" w:color="auto"/>
        <w:left w:val="none" w:sz="0" w:space="0" w:color="auto"/>
        <w:bottom w:val="none" w:sz="0" w:space="0" w:color="auto"/>
        <w:right w:val="none" w:sz="0" w:space="0" w:color="auto"/>
      </w:divBdr>
    </w:div>
    <w:div w:id="1965042933">
      <w:bodyDiv w:val="1"/>
      <w:marLeft w:val="0"/>
      <w:marRight w:val="0"/>
      <w:marTop w:val="0"/>
      <w:marBottom w:val="0"/>
      <w:divBdr>
        <w:top w:val="none" w:sz="0" w:space="0" w:color="auto"/>
        <w:left w:val="none" w:sz="0" w:space="0" w:color="auto"/>
        <w:bottom w:val="none" w:sz="0" w:space="0" w:color="auto"/>
        <w:right w:val="none" w:sz="0" w:space="0" w:color="auto"/>
      </w:divBdr>
      <w:divsChild>
        <w:div w:id="63139503">
          <w:marLeft w:val="562"/>
          <w:marRight w:val="0"/>
          <w:marTop w:val="86"/>
          <w:marBottom w:val="0"/>
          <w:divBdr>
            <w:top w:val="none" w:sz="0" w:space="0" w:color="auto"/>
            <w:left w:val="none" w:sz="0" w:space="0" w:color="auto"/>
            <w:bottom w:val="none" w:sz="0" w:space="0" w:color="auto"/>
            <w:right w:val="none" w:sz="0" w:space="0" w:color="auto"/>
          </w:divBdr>
        </w:div>
        <w:div w:id="273101534">
          <w:marLeft w:val="562"/>
          <w:marRight w:val="0"/>
          <w:marTop w:val="86"/>
          <w:marBottom w:val="0"/>
          <w:divBdr>
            <w:top w:val="none" w:sz="0" w:space="0" w:color="auto"/>
            <w:left w:val="none" w:sz="0" w:space="0" w:color="auto"/>
            <w:bottom w:val="none" w:sz="0" w:space="0" w:color="auto"/>
            <w:right w:val="none" w:sz="0" w:space="0" w:color="auto"/>
          </w:divBdr>
        </w:div>
        <w:div w:id="372119763">
          <w:marLeft w:val="562"/>
          <w:marRight w:val="0"/>
          <w:marTop w:val="86"/>
          <w:marBottom w:val="0"/>
          <w:divBdr>
            <w:top w:val="none" w:sz="0" w:space="0" w:color="auto"/>
            <w:left w:val="none" w:sz="0" w:space="0" w:color="auto"/>
            <w:bottom w:val="none" w:sz="0" w:space="0" w:color="auto"/>
            <w:right w:val="none" w:sz="0" w:space="0" w:color="auto"/>
          </w:divBdr>
        </w:div>
        <w:div w:id="485433899">
          <w:marLeft w:val="562"/>
          <w:marRight w:val="0"/>
          <w:marTop w:val="86"/>
          <w:marBottom w:val="0"/>
          <w:divBdr>
            <w:top w:val="none" w:sz="0" w:space="0" w:color="auto"/>
            <w:left w:val="none" w:sz="0" w:space="0" w:color="auto"/>
            <w:bottom w:val="none" w:sz="0" w:space="0" w:color="auto"/>
            <w:right w:val="none" w:sz="0" w:space="0" w:color="auto"/>
          </w:divBdr>
        </w:div>
        <w:div w:id="633756870">
          <w:marLeft w:val="562"/>
          <w:marRight w:val="0"/>
          <w:marTop w:val="86"/>
          <w:marBottom w:val="0"/>
          <w:divBdr>
            <w:top w:val="none" w:sz="0" w:space="0" w:color="auto"/>
            <w:left w:val="none" w:sz="0" w:space="0" w:color="auto"/>
            <w:bottom w:val="none" w:sz="0" w:space="0" w:color="auto"/>
            <w:right w:val="none" w:sz="0" w:space="0" w:color="auto"/>
          </w:divBdr>
        </w:div>
        <w:div w:id="963466410">
          <w:marLeft w:val="562"/>
          <w:marRight w:val="0"/>
          <w:marTop w:val="86"/>
          <w:marBottom w:val="0"/>
          <w:divBdr>
            <w:top w:val="none" w:sz="0" w:space="0" w:color="auto"/>
            <w:left w:val="none" w:sz="0" w:space="0" w:color="auto"/>
            <w:bottom w:val="none" w:sz="0" w:space="0" w:color="auto"/>
            <w:right w:val="none" w:sz="0" w:space="0" w:color="auto"/>
          </w:divBdr>
        </w:div>
        <w:div w:id="1009256809">
          <w:marLeft w:val="562"/>
          <w:marRight w:val="0"/>
          <w:marTop w:val="86"/>
          <w:marBottom w:val="0"/>
          <w:divBdr>
            <w:top w:val="none" w:sz="0" w:space="0" w:color="auto"/>
            <w:left w:val="none" w:sz="0" w:space="0" w:color="auto"/>
            <w:bottom w:val="none" w:sz="0" w:space="0" w:color="auto"/>
            <w:right w:val="none" w:sz="0" w:space="0" w:color="auto"/>
          </w:divBdr>
        </w:div>
        <w:div w:id="1624190589">
          <w:marLeft w:val="562"/>
          <w:marRight w:val="0"/>
          <w:marTop w:val="86"/>
          <w:marBottom w:val="0"/>
          <w:divBdr>
            <w:top w:val="none" w:sz="0" w:space="0" w:color="auto"/>
            <w:left w:val="none" w:sz="0" w:space="0" w:color="auto"/>
            <w:bottom w:val="none" w:sz="0" w:space="0" w:color="auto"/>
            <w:right w:val="none" w:sz="0" w:space="0" w:color="auto"/>
          </w:divBdr>
        </w:div>
        <w:div w:id="1988510111">
          <w:marLeft w:val="562"/>
          <w:marRight w:val="0"/>
          <w:marTop w:val="86"/>
          <w:marBottom w:val="0"/>
          <w:divBdr>
            <w:top w:val="none" w:sz="0" w:space="0" w:color="auto"/>
            <w:left w:val="none" w:sz="0" w:space="0" w:color="auto"/>
            <w:bottom w:val="none" w:sz="0" w:space="0" w:color="auto"/>
            <w:right w:val="none" w:sz="0" w:space="0" w:color="auto"/>
          </w:divBdr>
        </w:div>
      </w:divsChild>
    </w:div>
    <w:div w:id="2016834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sfai.se/wp-content/uploads/2015/02/ASA-klassifikation-p%C3%A5-svenska-151101.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tema">
  <a:themeElements>
    <a:clrScheme name="eHälsomyndigheten">
      <a:dk1>
        <a:sysClr val="windowText" lastClr="000000"/>
      </a:dk1>
      <a:lt1>
        <a:sysClr val="window" lastClr="FFFFFF"/>
      </a:lt1>
      <a:dk2>
        <a:srgbClr val="1F497D"/>
      </a:dk2>
      <a:lt2>
        <a:srgbClr val="EEECE1"/>
      </a:lt2>
      <a:accent1>
        <a:srgbClr val="672565"/>
      </a:accent1>
      <a:accent2>
        <a:srgbClr val="55575A"/>
      </a:accent2>
      <a:accent3>
        <a:srgbClr val="00A7E2"/>
      </a:accent3>
      <a:accent4>
        <a:srgbClr val="EE9BAD"/>
      </a:accent4>
      <a:accent5>
        <a:srgbClr val="32DAC4"/>
      </a:accent5>
      <a:accent6>
        <a:srgbClr val="DDC4BA"/>
      </a:accent6>
      <a:hlink>
        <a:srgbClr val="0000FF"/>
      </a:hlink>
      <a:folHlink>
        <a:srgbClr val="800080"/>
      </a:folHlink>
    </a:clrScheme>
    <a:fontScheme name="eHälsomyndigheten">
      <a:majorFont>
        <a:latin typeface="Arial Narrow"/>
        <a:ea typeface=""/>
        <a:cs typeface=""/>
      </a:majorFont>
      <a:minorFont>
        <a:latin typeface="Perpetu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E9D95C-B577-40D2-9245-284ECBC005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1875</Words>
  <Characters>9941</Characters>
  <Application>Microsoft Office Word</Application>
  <DocSecurity>0</DocSecurity>
  <Lines>82</Lines>
  <Paragraphs>23</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11793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 Johan Dahlberg</dc:creator>
  <cp:keywords/>
  <dc:description/>
  <cp:lastModifiedBy>Carl Johan Dahlberg</cp:lastModifiedBy>
  <cp:revision>2</cp:revision>
  <cp:lastPrinted>2014-04-03T08:31:00Z</cp:lastPrinted>
  <dcterms:created xsi:type="dcterms:W3CDTF">2022-11-14T10:40:00Z</dcterms:created>
  <dcterms:modified xsi:type="dcterms:W3CDTF">2022-11-14T10:40:00Z</dcterms:modified>
</cp:coreProperties>
</file>